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	</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519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22godz. w tym 10 godz. studia literaturowe, 12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odzysku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
</w:t>
      </w:r>
    </w:p>
    <w:p>
      <w:pPr>
        <w:keepNext w:val="1"/>
        <w:spacing w:after="10"/>
      </w:pPr>
      <w:r>
        <w:rPr>
          <w:b/>
          <w:bCs/>
        </w:rPr>
        <w:t xml:space="preserve">Metody oceny: </w:t>
      </w:r>
    </w:p>
    <w:p>
      <w:pPr>
        <w:spacing w:before="20" w:after="190"/>
      </w:pPr>
      <w:r>
        <w:rPr/>
        <w:t xml:space="preserve">Do zaliczenia wykładu wymagane jest zaliczenie kolokwium oraz napisanie pracy domowej z tematyki kogeneracji energii.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Lewandowski W.M. 
„Proekologiczne Odnawialne Źródła Energii”  Shashank Priya, Daniel J. Inman
„Energy Harvesting Technologies”
</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2026-01-08T16:57:15+01:00</dcterms:created>
  <dcterms:modified xsi:type="dcterms:W3CDTF">2026-01-08T16:57:15+01:00</dcterms:modified>
</cp:coreProperties>
</file>

<file path=docProps/custom.xml><?xml version="1.0" encoding="utf-8"?>
<Properties xmlns="http://schemas.openxmlformats.org/officeDocument/2006/custom-properties" xmlns:vt="http://schemas.openxmlformats.org/officeDocument/2006/docPropsVTypes"/>
</file>