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 godzin, w tym:
1. Liczba godzin wymagających bezpośredniego kontaktu z opiekunem: 150, w tym:
a) spotkania i konsultacje - 149 godz.,
b) zaliczenie przedmiotu - 1 godz. 
2. Liczba godzin pracy własnej: 225.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
a) spotkania i konsultacje - 149 godz.,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inżynierskiego, - doboru literatury, - wyboru metod rozwiązania,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konkretnego tematu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LiK1_W16, LiK1_W17, 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ML.NW136_U1: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ML.NW136_U2: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T1A_U14</w:t>
      </w:r>
    </w:p>
    <w:p>
      <w:pPr>
        <w:keepNext w:val="1"/>
        <w:spacing w:after="10"/>
      </w:pPr>
      <w:r>
        <w:rPr>
          <w:b/>
          <w:bCs/>
        </w:rPr>
        <w:t xml:space="preserve">Efekt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ML.NW136_U4: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LiK1_U03,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ML.NW136_U6: </w:t>
      </w:r>
    </w:p>
    <w:p>
      <w:pPr/>
      <w:r>
        <w:rPr/>
        <w:t xml:space="preserve">Potrafi - przy formułowaniu i rozwiązywaniu zadań inżynierskich dostrzegać ich aspekty systemowe i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ML.NW136_K1: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ML.NW136_K2: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ML.NW136_K3: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ML.NW136_K4: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2024-05-07T22:15:38+02:00</dcterms:created>
  <dcterms:modified xsi:type="dcterms:W3CDTF">2024-05-07T22:15:38+02:00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