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- 30 godz.,
b) konsultacje - 3 godz.
Praca własna studenta 17 godz., w tym:
a) 7 godz. - przygotowanie do rozwiązania w domu problemów/zadań przedstawionych na wykładzie,
b) 10 godz. - przygotowanie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- 30 godz., w tym:
a) wykład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							Zna podstawowe zagrożenia dla środowiska wynikające z rozwoju demograficznego i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							Posiada elementarną wiedzę o wpływie instalacji przemysłowych, w tym: energetycznych oraz transportu (lotniczego) na podstawowe elementy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							Ma podstawową wiedzę o międzynarodowych i krajowych regulacjach prawnych z zakresu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							Zna podstawowe problemy związane z systemem finansowania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ML.NW109_W6: </w:t>
      </w:r>
    </w:p>
    <w:p>
      <w:pPr/>
      <w:r>
        <w:rPr/>
        <w:t xml:space="preserve">							Zna podstawowe grupy metod ochrony środowiska w przemyśle i transporcie (atmosfera, hydrosfera, litosfera, promieniowanie, hałas).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ML.NW109_W7: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							Potrafi oszacować skalę redukcji emisji zanieczyszczeń atmosferycznych dla typowych instalacji ochrony powietrza.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ML.NW109_U3: </w:t>
      </w:r>
    </w:p>
    <w:p>
      <w:pPr/>
      <w:r>
        <w:rPr/>
        <w:t xml:space="preserve">							Potrafi ocenić wpływ na wybrane technologie przemysłowe wynikający z przepisów służących ochronie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2024-04-27T21:15:23+02:00</dcterms:created>
  <dcterms:modified xsi:type="dcterms:W3CDTF">2024-04-27T21:15:23+02:00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