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godz.,  w tym:
a) przygotowanie do zajęć laboratoryjnych -10 godz.,
b) zapoznanie się ze wskazana literaturą - 8 godz.,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godz.,
c) wykonanie sprawozdań z ćwiczeń laboratoryjnych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ML.NK400_W2: </w:t>
      </w:r>
    </w:p>
    <w:p>
      <w:pPr/>
      <w:r>
        <w:rPr/>
        <w:t xml:space="preserve">							Zna zasady i możliwości pomiarów na współrzędnościowych maszynach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ML.NK400_U4: </w:t>
      </w:r>
    </w:p>
    <w:p>
      <w:pPr/>
      <w:r>
        <w:rPr/>
        <w:t xml:space="preserve">							Potrafi dobrać metodę spajania materiałów i podstawowe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ML.NK400_U5: </w:t>
      </w:r>
    </w:p>
    <w:p>
      <w:pPr/>
      <w:r>
        <w:rPr/>
        <w:t xml:space="preserve">							Umie dokonać wyboru właściwej obróbki wykańczającej (szlifowanie, docieranie, dogładzanie) w zależności od warunków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ML.NK400_U7: </w:t>
      </w:r>
    </w:p>
    <w:p>
      <w:pPr/>
      <w:r>
        <w:rPr/>
        <w:t xml:space="preserve">							Potrafi wybrać i zastosować praktycznie obróbki stosowane do kształtowania materiałów trudnoskrawalnych (EDM, WEDM, ECM).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ML.NK400_U8: </w:t>
      </w:r>
    </w:p>
    <w:p>
      <w:pPr/>
      <w:r>
        <w:rPr/>
        <w:t xml:space="preserve">							Potrafi dobrać i zastosować metody oceny warstwy wierzchniej (naprężenia własne, mikrotwardość, zgniot).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ML.NK400_U9: </w:t>
      </w:r>
    </w:p>
    <w:p>
      <w:pPr/>
      <w:r>
        <w:rPr/>
        <w:t xml:space="preserve">							Potrafi praktycznie stosować metody badania struktury geometrycznej powierzchni.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2024-04-28T15:03:57+02:00</dcterms:created>
  <dcterms:modified xsi:type="dcterms:W3CDTF">2024-04-28T15:03:57+02:00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