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i techniki eksperymentu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Świetlik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godzin – 3 punkty ECTS podzielonych następująco: &lt;
1.	Liczba godzin kontaktowych: 25, w tym:
wykład – 9 godz.
ćwiczenia – 9 godz.
konsultacje – 7 godz.
2.	Praca własna studenta: 50 godzin, w tym:
realizacja pracy domowej – 25 godzin,
przygotowywanie się do sprawdzianów zaliczeniowych – 25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- 25 godzin kontaktowych, w tym:
wykład – 9 godzin,
ćwiczenia – 9 godzin,
konsultacje – 7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2.4 punkty ECTS - 50 godzin, w tym:
ćwiczenia – 9 godzin,
realizacja pracy domowej – 25  godzin,
przygotowanie do sprawdzianów  – 16 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wymaga znajomości: 
Analizy I,
Analizy II w zakresie całkowania funkcji wielu zmiennych,
Podstawy automatyki i sterowania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planowania i przeprowadzania eksperymentów i pomiarów. 
Po zaliczeniu przedmiotu student będzie potrafił wstępnie zaplanować eksperyment i opracować wyniki pomiarów z wykorzystaniem metod statystycznych.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rachunku prawdopodobieństwa - zmienna losowa jedno i wielowymiarowa, rozkłady zmiennej, dystrybuanta. współczynnik korelacji, przykłady techniczne.
Charakterystyki zmiennej losowej,  twierdzenia graniczne. Podstawowe pojęcia statystyki,  zasady konstrukcji estymatorów, hipotezy statystyczne. 
Testowanie hipotez.  Błędy i niepewności  pomiarów. 
Opracowanie wyników prac doświadczalnych i planowania eksperymentów – przykłady zastosowań dedykowanych pakietów obliczeniowych.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organizowane w czasie semestru. 
Praca własna: zadanie domowe, w którym studenci testują hipotezy statystyczne z zastosowaniem pakietu do obliczeń inżynierskich.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Oderfeld J.: Matematyczne podstawy prac doświadczalnych, WPW, 1980. 
Plucińska A.: Rachunek prawdopodobieństwa, WNT 2000. 
Materiały pomocnicze do programów MATLAB (Statistical Toolbox) Statistica 
Dodatkowa literatura:
Materiały na stronie http://tmr.meil.pw.edu.pl (zakładka Dla Studentów)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http://tmr.meil.pw.edu.pl/index.php?/pol/Dydaktyka/Prowadzone-przedmioty/Miernictwo-i-techniki-eksperymentu/Marerialy-MiTE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Ma wiedzę na temat podstawowych pojęć rachunku prawdopodobieństwa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semetru oraz zadanie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M1_W01, 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Ma wiedzę na temat twierdzeń granicznych, podstawowych rozkładów zmiennych losowych stosowanych w technice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M1_W01, 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EW3: </w:t>
      </w:r>
    </w:p>
    <w:p>
      <w:pPr/>
      <w:r>
        <w:rPr/>
        <w:t xml:space="preserve">Ma wiedzę o typowych zadaniach statystyki i w szczególnosci na temat estymacji i testowania hipotez statystycznych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M1_W01, 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EW4: </w:t>
      </w:r>
    </w:p>
    <w:p>
      <w:pPr/>
      <w:r>
        <w:rPr/>
        <w:t xml:space="preserve">Ma wiedzę o szacowaniu niepewności błędu pomiarów oraz możliwości analiz z zastosowaniem pakietów dedykowanych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M1_W01, 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Potrafi obliczyć charakterystyki liczbowe dla typowych zmiennych losowych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T1A_U07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Potrafi zastosować twierdzenia graniczne do modelowania błędów pomiarów i w opisie zjawisk losowych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T1A_U07</w:t>
      </w:r>
    </w:p>
    <w:p>
      <w:pPr>
        <w:keepNext w:val="1"/>
        <w:spacing w:after="10"/>
      </w:pPr>
      <w:r>
        <w:rPr>
          <w:b/>
          <w:bCs/>
        </w:rPr>
        <w:t xml:space="preserve">Efekt EU3: </w:t>
      </w:r>
    </w:p>
    <w:p>
      <w:pPr/>
      <w:r>
        <w:rPr/>
        <w:t xml:space="preserve">Potrafi przeprowadzić estymację typowych charakterystyk zmiennych losowych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T1A_U07</w:t>
      </w:r>
    </w:p>
    <w:p>
      <w:pPr>
        <w:keepNext w:val="1"/>
        <w:spacing w:after="10"/>
      </w:pPr>
      <w:r>
        <w:rPr>
          <w:b/>
          <w:bCs/>
        </w:rPr>
        <w:t xml:space="preserve">Efekt EU4: </w:t>
      </w:r>
    </w:p>
    <w:p>
      <w:pPr/>
      <w:r>
        <w:rPr/>
        <w:t xml:space="preserve">Potrafi postawić hipotezę statystyczną i ją przetestować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T1A_U07</w:t>
      </w:r>
    </w:p>
    <w:p>
      <w:pPr>
        <w:keepNext w:val="1"/>
        <w:spacing w:after="10"/>
      </w:pPr>
      <w:r>
        <w:rPr>
          <w:b/>
          <w:bCs/>
        </w:rPr>
        <w:t xml:space="preserve">Efekt EU5: </w:t>
      </w:r>
    </w:p>
    <w:p>
      <w:pPr/>
      <w:r>
        <w:rPr/>
        <w:t xml:space="preserve">Potrafi oszacować niepewność pomiaru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ZNK351_K1: </w:t>
      </w:r>
    </w:p>
    <w:p>
      <w:pPr/>
      <w:r>
        <w:rPr/>
        <w:t xml:space="preserve">														Student ma świadomość współodpowiedzialności za zadania realizowane w zespole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 przeprowadzana podczas konsultacji i zaliczenia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M1_K03, M1_K04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2024-05-09T04:27:27+02:00</dcterms:created>
  <dcterms:modified xsi:type="dcterms:W3CDTF">2024-05-09T04:27:27+02:00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