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kontaktowych: 65, w tym:
a) wykład – 30 godz.,
b) ćwiczenia – 30 godz.,
c) konsultacje – 5 godz.
2. Praca własna studenta: 60 godzin, w tym:
a) realizacja pracy domowej, polegającej na opracowaniu projektu manipulatora-robota (ProEngineer-CREO) – 35 godzin, 
b) przygotowywanie się do testu zaliczeniowego – 15 godzin.
Razem: 125 godzin –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– 65 godzin kontaktowych, w tym:
a) wykład – 30 godz.,
b) ćwiczenia – 30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realizacja pracy domowej, polegającej na opracowaniu projektu manipulatora-robota (ProEngineer-CREO) – 45 godzin,
b) 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Morecki A.: Podstawy robotyki, teoria i elementy manipulatorów i robotów, WNT, Warszawa 1993, wyd. II 1999.
2. Honczarenko J,: Roboty przemysłowe, elementy i zastosowanie, WNT, Warszawa 1996.
Dodatkowa literatura:
1. Katalogi łożysk, silników, przekładni, elementów złącznych, normy materiałowe.
2.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http://tmr.meil.pw.edu.pl/web/Dydaktyka/Prowadzone-przedmioty/Konstruowanie-robotow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ML.NK441_W1: </w:t>
      </w:r>
    </w:p>
    <w:p>
      <w:pPr/>
      <w:r>
        <w:rPr/>
        <w:t xml:space="preserve">							Zna metody kształtowania podstawowych charakterystyk funkcjonalnych i technicznych robota.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ML.NK441_W2: </w:t>
      </w:r>
    </w:p>
    <w:p>
      <w:pPr/>
      <w:r>
        <w:rPr/>
        <w:t xml:space="preserve">							Zna zasady komputerowo zintegrowanego konstruowania manipulatorów robotów z uwzględnieniem właściwości układów mechanicznych wraz z układami pomiarowymi, przekładniowymi i transmisyjnymi.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ML.NK441_W3: </w:t>
      </w:r>
    </w:p>
    <w:p>
      <w:pPr/>
      <w:r>
        <w:rPr/>
        <w:t xml:space="preserve">							Zna sposoby formułowania zadań dla robota technologicznego i związane z nimi założenia dotyczące konstrukcji robota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AiR2_U06, AiR2_U13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T2A_U14</w:t>
      </w:r>
    </w:p>
    <w:p>
      <w:pPr>
        <w:keepNext w:val="1"/>
        <w:spacing w:after="10"/>
      </w:pPr>
      <w:r>
        <w:rPr>
          <w:b/>
          <w:bCs/>
        </w:rPr>
        <w:t xml:space="preserve">Efekt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AiR2_U02, AiR2_U06, AiR2_U13, AiR2_U15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T2A_U08, T2A_U15, T2A_U17, T2A_U14,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2026-08-19T04:24:17+02:00</dcterms:created>
  <dcterms:modified xsi:type="dcterms:W3CDTF">2026-08-19T04:24:17+02:00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