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55, w tym:
a) wykład – 30 godz.,
b) laboratorium – 15 godz.,
c) konsultacje – 10 godz.
2. Praca własna studenta – 20 godzin, w tym:
a) 10 godz. – przygotowywanie się do laboratoriów i wykładów,
b) 10 godz. –przygotowywanie się do egzaminu.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2, Liczba godzin kontaktowych: 55, w tym:
a) wykład – 30 godz.,
b) laboratoria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godzin,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kodu komercyjnego do symulacji prostych zjawisk 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 sprawdziany z teorii,  punktowy system oceny pracy i postępów studenta na zajęciach laboratoryjnych, indywidualny projekt semestralny. 
Na zakończenie semestru 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Hirsch, Charles, Numerical computation of internal and external flows, 2007.
2. Versteeg, Henk Kaarle, An introduction to computational fluid dynamics, 2007.
Dodatkowa literatura: materiały na stronie http://c-cfd.meil.pw.edu.pl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ML.NK348_W1: </w:t>
      </w:r>
    </w:p>
    <w:p>
      <w:pPr/>
      <w:r>
        <w:rPr/>
        <w:t xml:space="preserve">Zna podstawowe modele i równania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ML.NK348_W3: </w:t>
      </w:r>
    </w:p>
    <w:p>
      <w:pPr/>
      <w:r>
        <w:rPr/>
        <w:t xml:space="preserve">Zna ograniczenia stabilnościowe metod dyskretyzacji.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ML.NK348_U1: </w:t>
      </w:r>
    </w:p>
    <w:p>
      <w:pPr/>
      <w:r>
        <w:rPr/>
        <w:t xml:space="preserve">Potrafi zdyskretyzować i rozwiązać proste zagadnienie brzegowe.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E2_U20,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T2A_U16,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ML.NK348_U3: </w:t>
      </w:r>
    </w:p>
    <w:p>
      <w:pPr/>
      <w:r>
        <w:rPr/>
        <w:t xml:space="preserve">Potrafi, wykorzystując odpowiedni pakiet inżynierski, przygotować siatkę obliczeniową dla prostego zagadnienia przepływowego.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ML.NK348_K1: </w:t>
      </w:r>
    </w:p>
    <w:p>
      <w:pPr/>
      <w:r>
        <w:rPr/>
        <w:t xml:space="preserve">Potrafi zidentyfikować i wyeliminować zagrożenia wynikające z błędnie przeprowadzonych symulacji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E2_K04,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2024-05-06T05:37:55+02:00</dcterms:created>
  <dcterms:modified xsi:type="dcterms:W3CDTF">2024-05-06T05:37:55+02:00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