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 Wprowadzenie — podstawowe idee, historia, podstawowe zastosowania.
• Opis neuronu, podstawowe charakterystyki. Struktury sieci neuronowych – sieci statyczne i dynamiczne.
• Zastosowanie sieci neuronowych w modelowaniu statycznym oraz dynamicznym. Systemy typu black-box oraz gray-box. Zastosowanie sieci do kategoryzacji oraz wizualizacji.
• Zasady i algorytmy procesu uczenia sieci.
• Zasady doboru danych wejściowych, normalizacja danych, dobór modelu sieci.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2.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E2_U09, E2_U21, E2_U24</w:t>
      </w:r>
    </w:p>
    <w:p>
      <w:pPr>
        <w:spacing w:before="20" w:after="190"/>
      </w:pPr>
      <w:r>
        <w:rPr>
          <w:b/>
          <w:bCs/>
        </w:rPr>
        <w:t xml:space="preserve">Powiązane efekty obszarowe: </w:t>
      </w:r>
      <w:r>
        <w:rPr/>
        <w:t xml:space="preserve">T2A_U09, T2A_U17, T2A_U18, T2A_U19</w:t>
      </w:r>
    </w:p>
    <w:p>
      <w:pPr>
        <w:keepNext w:val="1"/>
        <w:spacing w:after="10"/>
      </w:pPr>
      <w:r>
        <w:rPr>
          <w:b/>
          <w:bCs/>
        </w:rPr>
        <w:t xml:space="preserve">Efekt ML.NK385_U4: </w:t>
      </w:r>
    </w:p>
    <w:p>
      <w:pPr/>
      <w:r>
        <w:rPr/>
        <w:t xml:space="preserve">Posiada umiejętność wyszukiwania informacji niezbędnych do zaprojektowania właściwej dla danego zadania struktury.</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E2_U01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2024-05-05T09:31:21+02:00</dcterms:created>
  <dcterms:modified xsi:type="dcterms:W3CDTF">2024-05-05T09:31:21+02:00</dcterms:modified>
</cp:coreProperties>
</file>

<file path=docProps/custom.xml><?xml version="1.0" encoding="utf-8"?>
<Properties xmlns="http://schemas.openxmlformats.org/officeDocument/2006/custom-properties" xmlns:vt="http://schemas.openxmlformats.org/officeDocument/2006/docPropsVTypes"/>
</file>