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Komory spalania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 Gieras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- 33, w tym:
a) wykład - 30 godz.,
b) konsultacje - 3 godz.
2. Praca własna studenta - 20 godzin, w tym:
a) nauka do kolokwium 1-go -10 godz.,
b) nauka do kolokwium 2-go - 10 godz.
Razem - 53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liczba godzin kontaktowych - 33, w tym:
a) wykład - 30 godz.,
b)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na temat podstaw projektowania komór spalania silników tłokowych i turbinowych pod kątem odpowiedniej organizacji procesów spalania.  Po zaliczeniu przedmiotu powinien umieć przeprowadzić obliczenia  aerodynamiczne  i cieplne typowej komory spalania silnika turbinowego, a także wykonać wstępny projekt całej komory spalania lotniczego silnika turbinowego z uwzględnieniem zasad ograniczania emisji toksycznych produktów spalania.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Zasady i metody organizowania procesów spalania w komorach spalania silników ZI i ZS.
2.Zasady działania komór spalania silników lotniczych.
3.Typy i rodzaje komór spalania silników lotniczych.
4.Podstawy aerodynamiki komór spalania - ogólne zasady kształtowania przepływu czynnika w komorach spalania.
5.Rodzaje dyfuzorów - budowa i podstawy projektowania dyfuzorów.
6.Metody stabilizacji płomienia w komorach spalania.
7.Metody rozpylania paliwa - badania i dobór wtryskiwaczy.
8.Proces dyfuzji i spalanie kropel paliwa.
9.Podstawy organizacji zapłonu i spalania.
10.Pętle stabilnego zapłonu i spalania.
11.Podstawy modelowanie procesu spalania w komorach.
12.Rura żarowa  - obliczenia cieplne i wytrzymałościowe.
13.Metody ograniczania emisji toksycznych produktów spalania.
14.Podstawy obliczeń i projektowania komory spalania.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1, kolokwium 2.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Gieras, „Komory spalania silników turbinowych – organizacja procesów spalania”,  Oficyna Wydawnicza Politechniki Warszawskiej, Warszawa, 2010.
2. Pr. zbiorowa pod red. M. Orkisza, „Turbinowe silniki lotnicze w ujęciu problemowym”, Polskie Naukowo-Techniczne Towarzystwo Eksploatacyjne”, Lublin.
3. R. Łapucha, „Komory spalania silników turbinowo-odrzutowych”, Biblioteka Naukowa Instytutu Lotnictwa, Warszawa.
4. H. Lefebvre, „Gas Turbine Combustion”, Taylor &amp; Francis, USA.
5. J. B. Heywood, „Internal Combustion Engine Fundamentals”, McGrawHill Book Co., New York.
Dodatkowa literatura: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ML.NS640_W1: </w:t>
      </w:r>
    </w:p>
    <w:p>
      <w:pPr/>
      <w:r>
        <w:rPr/>
        <w:t xml:space="preserve">							Student zna podstawy procesu spalania mieszanin paliwowo-powietrznych.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LiK2_W08, LiK2_W10,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ML.NS640_W2: </w:t>
      </w:r>
    </w:p>
    <w:p>
      <w:pPr/>
      <w:r>
        <w:rPr/>
        <w:t xml:space="preserve">							Student zna podstawy aerodynamiki komór spalania silników turboodrzutowych.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ML.NS640_W3: </w:t>
      </w:r>
    </w:p>
    <w:p>
      <w:pPr/>
      <w:r>
        <w:rPr/>
        <w:t xml:space="preserve">							Student zna podstawowe metody organizacji procesów spalania w komorze silnika turboodrzutowego.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LiK2_W08, LiK2_W10,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ML.NS640_U1: </w:t>
      </w:r>
    </w:p>
    <w:p>
      <w:pPr/>
      <w:r>
        <w:rPr/>
        <w:t xml:space="preserve">							Student potrafi przeprowadzić obliczenia gazodynamiczne komory spalania silnika turboodrzutowego.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T2A_U16</w:t>
      </w:r>
    </w:p>
    <w:p>
      <w:pPr>
        <w:keepNext w:val="1"/>
        <w:spacing w:after="10"/>
      </w:pPr>
      <w:r>
        <w:rPr>
          <w:b/>
          <w:bCs/>
        </w:rPr>
        <w:t xml:space="preserve">Efekt ML.NS640_U2: </w:t>
      </w:r>
    </w:p>
    <w:p>
      <w:pPr/>
      <w:r>
        <w:rPr/>
        <w:t xml:space="preserve">							Student potrafi zaprojektować dyfuzor wlotowy do komory spalania silnika turboodrzutowego.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</w:t>
      </w:r>
    </w:p>
    <w:p>
      <w:pPr>
        <w:keepNext w:val="1"/>
        <w:spacing w:after="10"/>
      </w:pPr>
      <w:r>
        <w:rPr>
          <w:b/>
          <w:bCs/>
        </w:rPr>
        <w:t xml:space="preserve">Efekt ML.NS640_U3: </w:t>
      </w:r>
    </w:p>
    <w:p>
      <w:pPr/>
      <w:r>
        <w:rPr/>
        <w:t xml:space="preserve">							Student potrafi zaprojektować wstępną  aerodynamikę typowej komory spalania silnika turboodrzutowego.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</w:t>
      </w:r>
    </w:p>
    <w:p>
      <w:pPr>
        <w:keepNext w:val="1"/>
        <w:spacing w:after="10"/>
      </w:pPr>
      <w:r>
        <w:rPr>
          <w:b/>
          <w:bCs/>
        </w:rPr>
        <w:t xml:space="preserve">Efekt ML.NS640_U4: </w:t>
      </w:r>
    </w:p>
    <w:p>
      <w:pPr/>
      <w:r>
        <w:rPr/>
        <w:t xml:space="preserve">							Student potrafi wykonać projekt wstępny geometrii całej komory spalania silnika turboodrzutowego.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LiK2_U09, LiK2_U10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2026-02-07T03:36:00+01:00</dcterms:created>
  <dcterms:modified xsi:type="dcterms:W3CDTF">2026-02-07T03:36:00+01:00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