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Podejmowanie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Małgorzata Deszczka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ML.ZNK499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- 20, w tym:
1) 18 godz. wykładu,
2) 2 godz. konsultacji.
2. Praca własna studenta - 30 godzin, w tym:
a) 6 godz. - przygotowanie do wykładów;
b) 24 godz.-  przygotowanie do sprawdzianu.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- 20, w tym:
1) 18 godz. wykładu,
2) 2 godz.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Zrealizowane zajęcia z podstaw ekonomii.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się z podstawowymi formami prawno-organizacyjnymi i opodatkowania dochodów osób fizycznych prowadzących działalność gospodarczą.
2. Zdobycie podstawowej wiedzy o obowiązkach i zobowiązaniach przedsiębiorcy wobec podmiotów zewnętrznych.
3. Zdobycie umiejętności w zakresie interpretowania zjawisk gospodarczo-prawnych mających wpływ na prowadzenie działalności gospodarczej.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Funkcjonowanie przedsiębiorstwa: motywy podejmowania działalności gospodarczej, otoczenie przedsiębiorstwa i ryzyko podejmowania działalności gospodarczej, sektor MSP. 
2. Charakterystyka form organizacyjno-prawnych dla przedsiębiorstwa.
3. Formy opodatkowania dochodów w działalności gospodarczej,ze szczególnym uwzględnieniem jednoosobowej działalności gospodarczej.
4. Procedury formalno-prawne dotyczące podejmowania jednoosobowej działalności gospodarczej.
5. Podatek VAT w działalności gospodarczej.
6. Ubezpieczenia społeczne i zdrowotne w działalności gospodarczej. 
7. Struktura biznesplanu i strategie konkurencji.
8. Źródła finansowania przedsiębiorstwa:kredyt bankowy, pożyczka, usługi funduszy poręczeń kredytowych i funduszy pożyczkowych, wsparcie ze strony aniołów biznesu i funduszy venture capital.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składający się z pytań testowych, jak i pytań otwartych.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Wybrane rozdziały z:
1) B. Glinka, S. Gudkova: Przedsiębiorczość; Wolters Kluwer, Warszawa 2011.
2) B. Godziszewski i inni: Przedsiębiorstwo. Teoria i praktyka zarządzania,  PWE, Warszawa 2011.
3) Red. K. Safin: Zarządzanie małym i średnim przedsiębiorstwem, Wydawnictwo Uniwersytetu Ekonomicznego we Wrocławiu, Wrocław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ML.ZNK499_W01: </w:t>
      </w:r>
    </w:p>
    <w:p>
      <w:pPr/>
      <w:r>
        <w:rPr/>
        <w:t xml:space="preserve">														Ma podstawową wiedzę dotyczącą aspektów podejmowania i prowadzenia działalności gospodarczej głównie w formie jednoosobowej działalności gospodarczej.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MiBM2_W10, MiBM2_W13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ML.ZNK499_U01: </w:t>
      </w:r>
    </w:p>
    <w:p>
      <w:pPr/>
      <w:r>
        <w:rPr/>
        <w:t xml:space="preserve">														Potrafi pozyskiwać informacje dotyczące podstaw działalności gospodarczej  z literatury, baz danych oraz innych właściwie dobranych źródeł.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ML.ZNK499_K01: </w:t>
      </w:r>
    </w:p>
    <w:p>
      <w:pPr/>
      <w:r>
        <w:rPr/>
        <w:t xml:space="preserve">																					Rozumie potrzebę uczenia się przez całe życie przy prowadzeniu własnej działalności gospodarczej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MiBM_K01, MiBM2_K06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p>
      <w:pPr>
        <w:keepNext w:val="1"/>
        <w:spacing w:after="10"/>
      </w:pPr>
      <w:r>
        <w:rPr>
          <w:b/>
          <w:bCs/>
        </w:rPr>
        <w:t xml:space="preserve">Efekt ML.ZNK499_K02: </w:t>
      </w:r>
    </w:p>
    <w:p>
      <w:pPr/>
      <w:r>
        <w:rPr/>
        <w:t xml:space="preserve">														Ma świadomość ważności i rozumie pozatechniczne aspekty i skutki gospodarczej działalności inżynierskiej, w tym jej wpływu na środowisko, i związanej z tym odpowiedzialności za podejmowane działania.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2026-09-11T07:25:28+02:00</dcterms:created>
  <dcterms:modified xsi:type="dcterms:W3CDTF">2026-09-11T07:25:28+02:00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