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Praca przejściowa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Dowolny nauczyciel akademicki upoważniony przez Radę Wydziału do prowadzenia prac dyplomowych.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Mechanika i Budowa Maszyn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ML.ZNW130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3 / rok ak. 2015/2016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6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Razem 149, w tym:
1. Liczba godzin wymagających bezpośredniego kontaktu z opiekunem: 59, w tym:
a) spotkania i konsultacje - 54 godz.
b) zaliczenie przedmiotu - 5 godz.
2. Liczba godzin pracy własnej: 90.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2 punkty ECTS - liczba godzin wymagających bezpośredniego kontaktu z opiekunem: 59, w tym:
a) spotkania i konsultacje - 54 godz.
b) zaliczenie przedmiotu - 5 godz.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6 punktów ECTS.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105h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Zależnie od charakteru i tematu pracy. Musi ona wynikać z obranego kierunku, specjalności oraz powinna być dostosowana do zainteresowań i predyspozycji studenta.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Celem przedmiotu jest zdobycie przez studenta umiejętności wykonywania zaawansowanego projektu, przede wszystkim dzięki pracy własnej, z niewielka pomocą prowadzącego. W szczególności rozwiązania postawionego problemu, doboru literatury, metod badawczych, przedstawienia i krytycznej analizy wyników. 
Dokładna specyfikacja zalezna jest od tematyki pracy.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Szczegółowe treści merytoryczne zależą od tematu oraz charakteru pracy (projektowo-konstrukcyjna, obliczeniowa, eksperymentalna).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Ocenie podlega odpowiednie wyodrębnienie zadania, analiza literatury, rozwiązanie zadania i jego pisemne przedstawienie.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Książki i podręczniki akademickie, czasopisma naukowe, Internet.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http://www.meil.pw.edu.pl/pl/MEiL/Studia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Tematykę pracy przejściowej ustala student w porozumieniu ze swoim opiekunem indywidualnym.
Tematyka musi być zgodna z kierunkiem i specjalnością studiów wybranymi przez studenta.</w:t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ML.ZNW130_W1: </w:t>
      </w:r>
    </w:p>
    <w:p>
      <w:pPr/>
      <w:r>
        <w:rPr/>
        <w:t xml:space="preserve">	Posiada zaawansowaną wiedzę dotyczącą zagadnień inżynierskich w zakresie mechaniki i budowy maszyn odpowiednią dla danej specjalizacji.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pracy przejściowej.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MiBM2_W07, MiBM2_W08, MiBM2_W09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T2A_W04, T2A_W05, T2A_W06, T2A_W07, T2A_W04, T2A_W05, T2A_W07, T2A_W06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ML.ZNW130_U1: </w:t>
      </w:r>
    </w:p>
    <w:p>
      <w:pPr/>
      <w:r>
        <w:rPr/>
        <w:t xml:space="preserve">Potrafi ulokować rozwiązywany problem w szerszym zakresie nauki na podstawie badań literatury przedmiotu. Potrafi skorzystać z literatury do poszukiwania wskazówek przy rozwiązywaniu wybranego problemu badawczego. Potrafi rozwiązać proste zadanie z zakresu energetyki korzystając z pomocy opiekuna. Potrafi krytycznie ustosunkować się do wyników uzyskanych w trakcie rozwiązywania problemu. Potrafi samodzielnie przygotować sprawozdanie z pracy oraz w rozmowie z prowadzącym obronić przedstawione tezy.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pracy przejściowej.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MiBM2_U01, MiBM2_U03, MiBM2_U05, MiBM2_U06, MiBM2_U14, MiBM2_U15, MiBM2_U16, MiBM2_U18, MiBM2_U19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T2A_U01, T2A_U03, T2A_U05, T2A_U07, T2A_U11, T2A_U14, T2A_U13, T2A_U15, T2A_U16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Efekt ML.ZNW130_K1: </w:t>
      </w:r>
    </w:p>
    <w:p>
      <w:pPr/>
      <w:r>
        <w:rPr/>
        <w:t xml:space="preserve">Potrafi myśleć w sposób kreatywny samodzielnie proponując sposób rozwiązania postawionego zadania.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	Bieżąca ocena postępu pracy.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MiBM_K01, MiBM_K04, MiBM2_K06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T2A_K01, T2A_K04, T2A_K06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2025-04-04T23:29:58+02:00</dcterms:created>
  <dcterms:modified xsi:type="dcterms:W3CDTF">2025-04-04T23:29:58+02:00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