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Wybrane zagadnienia matematyki</w:t>
      </w:r>
    </w:p>
    <w:p>
      <w:pPr>
        <w:keepNext w:val="1"/>
        <w:spacing w:after="10"/>
      </w:pPr>
      <w:r>
        <w:rPr>
          <w:b/>
          <w:bCs/>
        </w:rPr>
        <w:t xml:space="preserve">Koordynator przedmiotu: </w:t>
      </w:r>
    </w:p>
    <w:p>
      <w:pPr>
        <w:spacing w:before="20" w:after="190"/>
      </w:pPr>
      <w:r>
        <w:rPr/>
        <w:t xml:space="preserve">dr Tadeusz Jagodziński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ML.ZNK422</w:t>
      </w:r>
    </w:p>
    <w:p>
      <w:pPr>
        <w:keepNext w:val="1"/>
        <w:spacing w:after="10"/>
      </w:pPr>
      <w:r>
        <w:rPr>
          <w:b/>
          <w:bCs/>
        </w:rPr>
        <w:t xml:space="preserve">Semestr nominalny: </w:t>
      </w:r>
    </w:p>
    <w:p>
      <w:pPr>
        <w:spacing w:before="20" w:after="190"/>
      </w:pPr>
      <w:r>
        <w:rPr/>
        <w:t xml:space="preserve">1 / rok ak. 2015/2016</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- 47, w tym:
a) wykład - 27 godz.;
b) ćwiczenia - 18 godz.
c) konsultacje - 2 godz.
2. Praca własna studenta - 90 godzin, w tym:
a) samodzielne rozwiązywanie w domu zadań, przygotowywanie się do ćwiczeń - 20 godz.;
b) studiowanie literatury - 20 godz.;
c) przygotowywanie się do kolokwiów - 20 godz.;
d) przygotowanie się do egzaminu - 20 godz.;
e) rozwiązywanie zadań domowych - 10 godz.
Razem - 137 godzin.
</w:t>
      </w:r>
    </w:p>
    <w:p>
      <w:pPr>
        <w:keepNext w:val="1"/>
        <w:spacing w:after="10"/>
      </w:pPr>
      <w:r>
        <w:rPr>
          <w:b/>
          <w:bCs/>
        </w:rPr>
        <w:t xml:space="preserve">Liczba punktów ECTS na zajęciach wymagających bezpośredniego udziału nauczycieli akademickich: </w:t>
      </w:r>
    </w:p>
    <w:p>
      <w:pPr>
        <w:spacing w:before="20" w:after="190"/>
      </w:pPr>
      <w:r>
        <w:rPr/>
        <w:t xml:space="preserve">2 punkty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 punkty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45h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Nabycie przez studenta wiedzy potrzebnej do rozwiązywania zagadnień dla równań różniczkowych cząstkowych. Nabycie przez studenta wiedzy  w zakresie modelowania zagadnień technicznych przy pomocy zagadnień stawianych dla równań różniczkowych cząstkowych. Nabycie przez studenta umiejętności wykorzystywania modeli matematycznych do prowadzenia obliczeń oraz  wykorzystywania metod rozwiązywania równań różniczkowych cząstkowych do rozwiązywania zagadnień inżynierskich.
</w:t>
      </w:r>
    </w:p>
    <w:p>
      <w:pPr>
        <w:keepNext w:val="1"/>
        <w:spacing w:after="10"/>
      </w:pPr>
      <w:r>
        <w:rPr>
          <w:b/>
          <w:bCs/>
        </w:rPr>
        <w:t xml:space="preserve">Treści kształcenia: </w:t>
      </w:r>
    </w:p>
    <w:p>
      <w:pPr>
        <w:spacing w:before="20" w:after="190"/>
      </w:pPr>
      <w:r>
        <w:rPr/>
        <w:t xml:space="preserve">Równania różniczkowe cząstkowe rzędu pierwszego –równanie liniowe i quasi liniowe: rozwiązywanie metodą charakterystyk, zagadnienie Cauchy’ego. Równania różniczkowe cząstkowe rzędu drugiego – równania liniowe i prawie liniowe, klasyfikacja równań, zagadnienie Cauchy’ego, wzór d’Alemberta, zagadnienie brzegowo-początkowe dla  równania typu hiperbolicznego – metoda separacji zmiennych Fouriera, zagadnienie brzegowo-początkowe dla równania typu parabolicznego –  metoda separacji zmiennych Fouriera, całka Poissona, zagadnienie brzegowe Dirichleta i zagadnienie Neumanna dla równań typu eliptycznego, własności funkcji harmonicznych, zastosowanie funkcji Bessela do rozwiązywania zagadnienia membrany kołowej i zagadnienia stygnącego walca.
</w:t>
      </w:r>
    </w:p>
    <w:p>
      <w:pPr>
        <w:keepNext w:val="1"/>
        <w:spacing w:after="10"/>
      </w:pPr>
      <w:r>
        <w:rPr>
          <w:b/>
          <w:bCs/>
        </w:rPr>
        <w:t xml:space="preserve">Metody oceny: </w:t>
      </w:r>
    </w:p>
    <w:p>
      <w:pPr>
        <w:spacing w:before="20" w:after="190"/>
      </w:pPr>
      <w:r>
        <w:rPr/>
        <w:t xml:space="preserve">Dwa kolokwia, praca domowa, egzamin końcowy z całego materiału.</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ML.ZNK422_W1: </w:t>
      </w:r>
    </w:p>
    <w:p>
      <w:pPr/>
      <w:r>
        <w:rPr/>
        <w:t xml:space="preserve">Ma wiedzę w zakresie modelowania zagadnień technicznych przy pomocy zagadnień stawianych dla równań różniczkowych cząstkowych.</w:t>
      </w:r>
    </w:p>
    <w:p>
      <w:pPr>
        <w:spacing w:before="60"/>
      </w:pPr>
      <w:r>
        <w:rPr/>
        <w:t xml:space="preserve">Weryfikacja: </w:t>
      </w:r>
    </w:p>
    <w:p>
      <w:pPr>
        <w:spacing w:before="20" w:after="190"/>
      </w:pPr>
      <w:r>
        <w:rPr/>
        <w:t xml:space="preserve">Kolokwium, zadanie domowe, egzamin.</w:t>
      </w:r>
    </w:p>
    <w:p>
      <w:pPr>
        <w:spacing w:before="20" w:after="190"/>
      </w:pPr>
      <w:r>
        <w:rPr>
          <w:b/>
          <w:bCs/>
        </w:rPr>
        <w:t xml:space="preserve">Powiązane efekty kierunkowe: </w:t>
      </w:r>
      <w:r>
        <w:rPr/>
        <w:t xml:space="preserve">MiBM2_W01</w:t>
      </w:r>
    </w:p>
    <w:p>
      <w:pPr>
        <w:spacing w:before="20" w:after="190"/>
      </w:pPr>
      <w:r>
        <w:rPr>
          <w:b/>
          <w:bCs/>
        </w:rPr>
        <w:t xml:space="preserve">Powiązane efekty obszarowe: </w:t>
      </w:r>
      <w:r>
        <w:rPr/>
        <w:t xml:space="preserve">T2A_W01, T2A_W07</w:t>
      </w:r>
    </w:p>
    <w:p>
      <w:pPr>
        <w:pStyle w:val="Heading3"/>
      </w:pPr>
      <w:bookmarkStart w:id="3" w:name="_Toc3"/>
      <w:r>
        <w:t>Profil ogólnoakademicki - umiejętności</w:t>
      </w:r>
      <w:bookmarkEnd w:id="3"/>
    </w:p>
    <w:p>
      <w:pPr>
        <w:keepNext w:val="1"/>
        <w:spacing w:after="10"/>
      </w:pPr>
      <w:r>
        <w:rPr>
          <w:b/>
          <w:bCs/>
        </w:rPr>
        <w:t xml:space="preserve">Efekt ML.ZNK422_U1: </w:t>
      </w:r>
    </w:p>
    <w:p>
      <w:pPr/>
      <w:r>
        <w:rPr/>
        <w:t xml:space="preserve">Potrafi wykorzystywać modele matematyczne do prowadzenia obliczeń.</w:t>
      </w:r>
    </w:p>
    <w:p>
      <w:pPr>
        <w:spacing w:before="60"/>
      </w:pPr>
      <w:r>
        <w:rPr/>
        <w:t xml:space="preserve">Weryfikacja: </w:t>
      </w:r>
    </w:p>
    <w:p>
      <w:pPr>
        <w:spacing w:before="20" w:after="190"/>
      </w:pPr>
      <w:r>
        <w:rPr/>
        <w:t xml:space="preserve">Kolokwium, ocena zadań domowych, egzamin.</w:t>
      </w:r>
    </w:p>
    <w:p>
      <w:pPr>
        <w:spacing w:before="20" w:after="190"/>
      </w:pPr>
      <w:r>
        <w:rPr>
          <w:b/>
          <w:bCs/>
        </w:rPr>
        <w:t xml:space="preserve">Powiązane efekty kierunkowe: </w:t>
      </w:r>
      <w:r>
        <w:rPr/>
        <w:t xml:space="preserve">MiBM2_U09</w:t>
      </w:r>
    </w:p>
    <w:p>
      <w:pPr>
        <w:spacing w:before="20" w:after="190"/>
      </w:pPr>
      <w:r>
        <w:rPr>
          <w:b/>
          <w:bCs/>
        </w:rPr>
        <w:t xml:space="preserve">Powiązane efekty obszarowe: </w:t>
      </w:r>
      <w:r>
        <w:rPr/>
        <w:t xml:space="preserve">T2A_U08, T2A_U09</w:t>
      </w:r>
    </w:p>
    <w:p>
      <w:pPr>
        <w:keepNext w:val="1"/>
        <w:spacing w:after="10"/>
      </w:pPr>
      <w:r>
        <w:rPr>
          <w:b/>
          <w:bCs/>
        </w:rPr>
        <w:t xml:space="preserve">Efekt ML.ZNK422_U2: </w:t>
      </w:r>
    </w:p>
    <w:p>
      <w:pPr/>
      <w:r>
        <w:rPr/>
        <w:t xml:space="preserve">Potrafi wykorzystywać metody rozwiązywania równań różniczkowych cząstkowych do rozwiązywania zagadnień inżynierskich.</w:t>
      </w:r>
    </w:p>
    <w:p>
      <w:pPr>
        <w:spacing w:before="60"/>
      </w:pPr>
      <w:r>
        <w:rPr/>
        <w:t xml:space="preserve">Weryfikacja: </w:t>
      </w:r>
    </w:p>
    <w:p>
      <w:pPr>
        <w:spacing w:before="20" w:after="190"/>
      </w:pPr>
      <w:r>
        <w:rPr/>
        <w:t xml:space="preserve">Kolokwium, ocena zadań domowych, egzamin.</w:t>
      </w:r>
    </w:p>
    <w:p>
      <w:pPr>
        <w:spacing w:before="20" w:after="190"/>
      </w:pPr>
      <w:r>
        <w:rPr>
          <w:b/>
          <w:bCs/>
        </w:rPr>
        <w:t xml:space="preserve">Powiązane efekty kierunkowe: </w:t>
      </w:r>
      <w:r>
        <w:rPr/>
        <w:t xml:space="preserve">MiBM2_U09</w:t>
      </w:r>
    </w:p>
    <w:p>
      <w:pPr>
        <w:spacing w:before="20" w:after="190"/>
      </w:pPr>
      <w:r>
        <w:rPr>
          <w:b/>
          <w:bCs/>
        </w:rPr>
        <w:t xml:space="preserve">Powiązane efekty obszarowe: </w:t>
      </w:r>
      <w:r>
        <w:rPr/>
        <w:t xml:space="preserve">T2A_U08, T2A_U09</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2026-05-11T16:07:19+02:00</dcterms:created>
  <dcterms:modified xsi:type="dcterms:W3CDTF">2026-05-11T16:07:19+02:00</dcterms:modified>
</cp:coreProperties>
</file>

<file path=docProps/custom.xml><?xml version="1.0" encoding="utf-8"?>
<Properties xmlns="http://schemas.openxmlformats.org/officeDocument/2006/custom-properties" xmlns:vt="http://schemas.openxmlformats.org/officeDocument/2006/docPropsVTypes"/>
</file>