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- 29, w tym:
a) wykład - 18 godz.;
b) ćwiczenia - 9 godz.;
c) konsultacje - 2 godz.
2. Praca własna studenta - 55 godzin, w tym:
a) studiowanie zalecanej literatury, bieżące przygotowywanie się do wykładów - 10 godz.;
b) bieżące przygotowywanie się do ćwiczeń, rozwiązywanie zadań - 20 godz.;
c) realizacja zadań domowych - 15 godz.;
d) przygotowanie do kolokwiów - 10 godz.
Razem - 84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- 29, w tym:
a) wykład - 18 godz.;
b) ćwiczenia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konstrukcji:  prętowych (stateczność), wybranych  dwuwymiarowych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równania wytrzymałości konstrukcji, zasada prac przygotowanych, zasada minimum całkowitej energii potencjalnej. Stateczność  konstrukcji prętowych, metoda energetyczna. Zagadnienia dwuwymiarowe, zagadnienie Lame, rury grubościenne , rury wielowarstwowe, cienkie tarcze osiowosymetryczne obciążone osiowosymetrycznie (wydatkiem, wirujące). Płyty kołowe obciążone osiowosymetrycznie (wydatkiem, obciążeniem ciągłym). Płyty prostokątne przegubowo podparte obciążone wydatkiem ciągłym. Stan zgięciowy w powłoce walcowej, podstawowe założenia, warunki brzegowe.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 , zadania domowe.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ML.ZNK430_W1: </w:t>
      </w:r>
    </w:p>
    <w:p>
      <w:pPr/>
      <w:r>
        <w:rPr/>
        <w:t xml:space="preserve">Ma podstawową wiedzę o modelowaniu i analizie prostych zagadnień osiowosymetrycznych - tarcz i rur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ML.ZNK430_W4: </w:t>
      </w:r>
    </w:p>
    <w:p>
      <w:pPr/>
      <w:r>
        <w:rPr/>
        <w:t xml:space="preserve">Zna  podstawowe równania  i  pojęcia wytrzymałości konstrukcji (ZPP, ZMCEP, równania konstytutywne 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2024-05-04T12:09:12+02:00</dcterms:created>
  <dcterms:modified xsi:type="dcterms:W3CDTF">2024-05-04T12:09:12+02:00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