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Trybologia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Paweł Pyrzanowski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ZNK395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20, w tym: a) wykład – 18 godz. 
b) konsultacje – 5 godz 
2. Praca własna studenta – 30 godzin, w tym: 
a) 25 godz. – przygotowywanie się studenta do 3 kolokwiów 
b) 5 godz - ćwiczenia własne poszerzające zdovytą wiedzę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problemów związanych z projektowaniem maszyn. Umiejętność dostrzegania problemów stojących przed konstyruktorem maszyn i urządzeń.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istotne poszerzenie wiedzy i umiejętności związanych z problemami trybologicznymi w budowie, projektowaniu i eksploatacji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Warstwa wierzchnia ciał stałych utworzona w wyniku obróbki mechanicznej, właściwości mechaniczne, cechy geometryczne.
Kontakt dwóch powierzchni chropowatych, tarcie izotropowe, anizotropowe. Mechanika kontaktu skoncentrowanego, punkty
Bielajewa i Palmgrena-Lundberga, mechanika ruchu tocznego, opory ruchu, rozkłady poślizgów na powierzchni kontaktu.
Zużycie, rodzaje zużycia, wpływ twardości, powinowactwa materiałów pary ciernej, smarowania. Smar, smarowanie
hydrodynamiczne i hydrostatyczne, modele przepływu w warstwie smaru, nośność łożyska, opory ruchu, bilans cieplny,
stateczność ruchu wału, budowa łożysk, zasilanie, uszczelnianie. Elastohydrodynamiczne smarowanie, opis zjawiska, grubość
warstwy smaru.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Trzy kolokwia, wymagane zaliczenia kazdego z nich. Ocena końcowa jest średnią ocen ze wszystkicjh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Podstawy Konstrukcji Maszyn – red. M. Dietrich – WNT 2003 
Trybologia – M. Hebda, A. Wachal – WNT 1980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http://meil.pw.edu.pl/zpk/ZPK/Dydaktyka/Regulaminy-zajec-dydaktycznych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Posiada wiedzę na temat projektowania i analizy pracy maszyn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EW2: </w:t>
      </w:r>
    </w:p>
    <w:p>
      <w:pPr/>
      <w:r>
        <w:rPr/>
        <w:t xml:space="preserve">Ma wiedzę na temat analizy analizy wytrzymałościowej maszyn oraz procesów trybologicznych w tym ich modelowania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MiBM2_W07,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T2A_W06,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Posiada umiejętności opisywania zjawisk trybologicznych za pomocą aparatu matematycznego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EU2: </w:t>
      </w:r>
    </w:p>
    <w:p>
      <w:pPr/>
      <w:r>
        <w:rPr/>
        <w:t xml:space="preserve">Potrafi uwzględniać wiedzę z różnych dziedzin nauk technicznych przy formułowaniu i rozwiązywaniu zagadnień trybologicznych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2024-04-29T15:58:53+02:00</dcterms:created>
  <dcterms:modified xsi:type="dcterms:W3CDTF">2024-04-29T15:58:53+02:00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