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20, w tym:
a) udział w wykładach - 18 godz.,
b) konsultacje - 2 godz.
2) Praca własna studenta - 50 godz., w tym:
a) bieżące przygotowywanie się do zajęć - 20 godz.
b)  praca nad projektem - 30 godz.
Razem 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Liczba godzin kontaktowych: 20, w tym:
a) udział w wykładach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nieustalonego. Formułowanie układów równań bilansowych Automatyzacja procesów formułowania równań , metody macierzowe,
wykorzystanie grafów, metody obiektowe. Metody rozwiązywania układów równań algebraicznych i różniczkowych. 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ZNS501: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ZNS501_W2: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ZNS501_U1: </w:t>
      </w:r>
    </w:p>
    <w:p>
      <w:pPr/>
      <w:r>
        <w:rPr/>
        <w:t xml:space="preserve">Umiejętność bilansowania układów energetycznych i optymalizacji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2026-09-08T16:47:27+02:00</dcterms:created>
  <dcterms:modified xsi:type="dcterms:W3CDTF">2026-09-08T16:47:27+02:00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