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Cezary Rzymkowski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Olędzki. A. (red.): Zarys dynamiki i automatyki układów. OWPW 1991. 
2. Ogata. K.: Modern Control Engineering, Prentice Hall, Upper Saddle River, New Jersey, 1997.
3. Materiały dostarczone przez wykładowcę.
4. Materiały na stronie http://tmr.meil.pw.edu.pl (zakładka Dla Studentów).
</w:t>
      </w:r>
    </w:p>
    <w:p>
      <w:pPr>
        <w:keepNext w:val="1"/>
        <w:spacing w:after="10"/>
      </w:pPr>
      <w:r>
        <w:rPr>
          <w:b/>
          <w:bCs/>
        </w:rPr>
        <w:t xml:space="preserve">Witryna www przedmiotu: </w:t>
      </w:r>
    </w:p>
    <w:p>
      <w:pPr>
        <w:spacing w:before="20" w:after="190"/>
      </w:pPr>
      <w:r>
        <w:rPr/>
        <w:t xml:space="preserve">http://tmr.meil.pw.edu.pl (zakładka Dla Studentów)</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keepNext w:val="1"/>
        <w:spacing w:after="10"/>
      </w:pPr>
      <w:r>
        <w:rPr>
          <w:b/>
          <w:bCs/>
        </w:rPr>
        <w:t xml:space="preserve">Efekt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MiBM1_W01, MiBM1_W02</w:t>
      </w:r>
    </w:p>
    <w:p>
      <w:pPr>
        <w:spacing w:before="20" w:after="190"/>
      </w:pPr>
      <w:r>
        <w:rPr>
          <w:b/>
          <w:bCs/>
        </w:rPr>
        <w:t xml:space="preserve">Powiązane efekty obszarowe: </w:t>
      </w:r>
      <w:r>
        <w:rPr/>
        <w:t xml:space="preserve">T1A_W01, T1A_W07, T1A_W02, T1A_W03</w:t>
      </w:r>
    </w:p>
    <w:p>
      <w:pPr>
        <w:pStyle w:val="Heading3"/>
      </w:pPr>
      <w:bookmarkStart w:id="3" w:name="_Toc3"/>
      <w:r>
        <w:t>Profil ogólnoakademicki - umiejętności</w:t>
      </w:r>
      <w:bookmarkEnd w:id="3"/>
    </w:p>
    <w:p>
      <w:pPr>
        <w:keepNext w:val="1"/>
        <w:spacing w:after="10"/>
      </w:pPr>
      <w:r>
        <w:rPr>
          <w:b/>
          <w:bCs/>
        </w:rPr>
        <w:t xml:space="preserve">Efekt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p>
      <w:pPr>
        <w:keepNext w:val="1"/>
        <w:spacing w:after="10"/>
      </w:pPr>
      <w:r>
        <w:rPr>
          <w:b/>
          <w:bCs/>
        </w:rPr>
        <w:t xml:space="preserve">Efekt ML.NW123_U5: </w:t>
      </w:r>
    </w:p>
    <w:p>
      <w:pPr/>
      <w:r>
        <w:rPr/>
        <w:t xml:space="preserve">														Student potrafi opisać co 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efekty kierunkowe: </w:t>
      </w:r>
      <w:r>
        <w:rPr/>
        <w:t xml:space="preserve">MiBM1_U12</w:t>
      </w:r>
    </w:p>
    <w:p>
      <w:pPr>
        <w:spacing w:before="20" w:after="190"/>
      </w:pPr>
      <w:r>
        <w:rPr>
          <w:b/>
          <w:bCs/>
        </w:rPr>
        <w:t xml:space="preserve">Powiązane efekty obszarowe: </w:t>
      </w:r>
      <w:r>
        <w:rPr/>
        <w:t xml:space="preserve">T1A_U10, T1A_U14,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2024-05-18T09:43:50+02:00</dcterms:created>
  <dcterms:modified xsi:type="dcterms:W3CDTF">2024-05-18T09:43:50+02:00</dcterms:modified>
</cp:coreProperties>
</file>

<file path=docProps/custom.xml><?xml version="1.0" encoding="utf-8"?>
<Properties xmlns="http://schemas.openxmlformats.org/officeDocument/2006/custom-properties" xmlns:vt="http://schemas.openxmlformats.org/officeDocument/2006/docPropsVTypes"/>
</file>