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150, w tym:
a) spotkania i konsultacje - 149 godz.,
b) zaliczenie przedmiotu - 1 godz. 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
2. Ustna obrona, podczas której student przed komisją liczącą, co najmniej 3 osoby (w tym: promotor i recenzent)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ML.NW136_U6: </w:t>
      </w:r>
    </w:p>
    <w:p>
      <w:pPr/>
      <w:r>
        <w:rPr/>
        <w:t xml:space="preserve">Ma zdolność widzenia określonej całości, której częścią jest rozwiązywany problem i przy formułowaniu zadań inżynierskich potrafi integrować wiedzę z różnych obszarów technicznych i nietechnicznych  (w tym: – ekonomii, organizacji i zarządzania oraz psychologii i socjologii).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ważności roli i odpowiedzialności społecznej inżyniera. Dostrzega wpływ działalności inżynierskiej na życie i zdrowie ludzi oraz  na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Potrafi odpowiednio określić priorytety służące realizacji określonego przez siebie i innych zadania, w tym: najskuteczniejsze sposoby rozwiązania określonego problemu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Prawidłowo identyfikuje i rozstrzyga dylematy związane z wykonywaniem zawodu, w tym: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2024-05-18T06:06:59+02:00</dcterms:created>
  <dcterms:modified xsi:type="dcterms:W3CDTF">2024-05-18T06:06:59+02:00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