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90,
2) Praca własna studenta – 90 godz.
Razem – 180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wykonywania zaawansowanego projektu, przede wszystkim dzięki pracy własnej, z niewielką pomocą prowadzącego. W szczególności rozwiązania postawionego problemu, doboru literatury, metod badawczych, przedstawienia i krytycznej analizy wyników. 
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odpowiednie wyodrębnienie zadania, analiza literatury, rozwiązanie zadania i jego pisemne przedstawienie.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
Tematyka musi być zgodna z kierunkiem i specjalnością studiów wybranymi przez studenta.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ML.NK491_W1: </w:t>
      </w:r>
    </w:p>
    <w:p>
      <w:pPr/>
      <w:r>
        <w:rPr/>
        <w:t xml:space="preserve">Posiada poszerzoną wiedzę na wybrany temat w ramach kierunku.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ML.NK491_U1: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ML.NK491_U2: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T2A_U15, T2A_U16</w:t>
      </w:r>
    </w:p>
    <w:p>
      <w:pPr>
        <w:keepNext w:val="1"/>
        <w:spacing w:after="10"/>
      </w:pPr>
      <w:r>
        <w:rPr>
          <w:b/>
          <w:bCs/>
        </w:rPr>
        <w:t xml:space="preserve">Efekt ML.NK491_U3: </w:t>
      </w:r>
    </w:p>
    <w:p>
      <w:pPr/>
      <w:r>
        <w:rPr/>
        <w:t xml:space="preserve">Potrafi rozwiązać proste zadanie z zakresu automatyki i robotyki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AiR2_U02,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T2A_U07, T2A_U14, T2A_U09, T2A_U11</w:t>
      </w:r>
    </w:p>
    <w:p>
      <w:pPr>
        <w:keepNext w:val="1"/>
        <w:spacing w:after="10"/>
      </w:pPr>
      <w:r>
        <w:rPr>
          <w:b/>
          <w:bCs/>
        </w:rPr>
        <w:t xml:space="preserve">Efekt ML.NK491_U4: </w:t>
      </w:r>
    </w:p>
    <w:p>
      <w:pPr/>
      <w:r>
        <w:rPr/>
        <w:t xml:space="preserve">Potrafi samodzielnie przygotować sprawozdanie z pracy oraz w rozmowie z prowadzącym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ML.NK491_K1: </w:t>
      </w:r>
    </w:p>
    <w:p>
      <w:pPr/>
      <w:r>
        <w:rPr/>
        <w:t xml:space="preserve">Potrafi myśleć w sposób kreatywny samodzielnie proponując sposób rozwiązania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2026-05-11T16:13:38+02:00</dcterms:created>
  <dcterms:modified xsi:type="dcterms:W3CDTF">2026-05-11T16:13:38+02:00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