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W_05: </w:t>
      </w:r>
    </w:p>
    <w:p>
      <w:pPr/>
      <w:r>
        <w:rPr/>
        <w:t xml:space="preserve">Ma uporządkowaną wiedzę o strategiach negocjacyjnych oraz metodzie mediacyjnej</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S1A_K01, S1A_K02, S1A_K03, S1A_K04, S1A_K05, S1A_K07, S1A_K01, S1A_K02, S1A_K04, S1A_K06, S2A_K02, S2A_K03, S2A_K05,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wadze zachowania się w sposób profesjonalny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 </w:t>
      </w:r>
    </w:p>
    <w:p>
      <w:pPr/>
      <w:r>
        <w:rPr/>
        <w:t xml:space="preserve">Ma świadomość występujących dylematów i problemów etycznych w rozwiązywaniu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S1A_K01, S1A_K02, S1A_K03, S1A_K04, S1A_K05, S1A_K07,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2026-07-29T02:43:23+02:00</dcterms:created>
  <dcterms:modified xsi:type="dcterms:W3CDTF">2026-07-29T02:43:23+02:00</dcterms:modified>
</cp:coreProperties>
</file>

<file path=docProps/custom.xml><?xml version="1.0" encoding="utf-8"?>
<Properties xmlns="http://schemas.openxmlformats.org/officeDocument/2006/custom-properties" xmlns:vt="http://schemas.openxmlformats.org/officeDocument/2006/docPropsVTypes"/>
</file>