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1060-GI000-ISP-2004</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GI.ISP-2004_W01: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GI.ISP-2004_U01: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T1P_U01, T1P_U13, T1P_U01, T1P_U06</w:t>
      </w:r>
    </w:p>
    <w:p>
      <w:pPr>
        <w:pStyle w:val="Heading3"/>
      </w:pPr>
      <w:bookmarkStart w:id="4" w:name="_Toc4"/>
      <w:r>
        <w:t>Profil praktyczny - kompetencje społeczne</w:t>
      </w:r>
      <w:bookmarkEnd w:id="4"/>
    </w:p>
    <w:p>
      <w:pPr>
        <w:keepNext w:val="1"/>
        <w:spacing w:after="10"/>
      </w:pPr>
      <w:r>
        <w:rPr>
          <w:b/>
          <w:bCs/>
        </w:rPr>
        <w:t xml:space="preserve">Efekt GI.ISP-2004_K01: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T1P_K01, T1P_K05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2026-03-23T23:19:23+01:00</dcterms:created>
  <dcterms:modified xsi:type="dcterms:W3CDTF">2026-03-23T23:19:23+01:00</dcterms:modified>
</cp:coreProperties>
</file>

<file path=docProps/custom.xml><?xml version="1.0" encoding="utf-8"?>
<Properties xmlns="http://schemas.openxmlformats.org/officeDocument/2006/custom-properties" xmlns:vt="http://schemas.openxmlformats.org/officeDocument/2006/docPropsVTypes"/>
</file>