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(Udział na wykładach i ćwiczeniach oraz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Fizyka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przedmiot, zadania statystyki oraz podstawowe definicje i pojęcia statystyczne takie jak: zjawisko masowe, jednostka, populacja statystyczna, próba losowa, cechy statystyczne,rodzaje i organizacja badań statystycznych. 2. Posiada wiedzę dotyczącą najważniejszych pojęći twierdzeń rachunku prawdopodobieństwa oraz statystyki matematycznej takie jak zmienna losowa i jej rodzaje,funkcja gęstości i dystrybuanta, podstawowe rozkłady występujące w statystyce. 3. Posiada wiedzę dotyczącą estymacji punktowej, własności estymatorów w tym nieobciążoności, zgodności, efektywności i dostateczności, najważniejszych metod wyznaczania estymatorów.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5. Potrafi przeprowadzić analizę wariancji w przypadku klasyfikacji jednoczynnikowej oraz w przypadku klasyfikacji podwójnej.</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Jest zdolny organizować wybrane badania statystyczne, mając świadomość ich rangi i złożonych relacji występujące w badaniach statystycznych środowiska. 2. Jest chętny do pracy indywidualnej i zespołowej, zgodnie z zasadami etyki, posiadając zdolność do wyrażania ocen popartych obliczeniami statystycznymi</w:t>
      </w:r>
    </w:p>
    <w:p>
      <w:pPr>
        <w:spacing w:before="60"/>
      </w:pPr>
      <w:r>
        <w:rPr/>
        <w:t xml:space="preserve">Weryfikacja: </w:t>
      </w:r>
    </w:p>
    <w:p>
      <w:pPr>
        <w:spacing w:before="20" w:after="190"/>
      </w:pPr>
      <w:r>
        <w:rPr/>
        <w:t xml:space="preserve">Dyskusja, aktywne uczestnictwo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2024-05-05T01:06:15+02:00</dcterms:created>
  <dcterms:modified xsi:type="dcterms:W3CDTF">2024-05-05T01:06:15+02:00</dcterms:modified>
</cp:coreProperties>
</file>

<file path=docProps/custom.xml><?xml version="1.0" encoding="utf-8"?>
<Properties xmlns="http://schemas.openxmlformats.org/officeDocument/2006/custom-properties" xmlns:vt="http://schemas.openxmlformats.org/officeDocument/2006/docPropsVTypes"/>
</file>