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16 godz.; ćwiczenia 8 godz.; praca z literaturą, przygotowanie do zaliczenia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16 godz., ćwiczenia 8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materiałów.&lt;br&gt;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&lt;br&gt;
W ramach przedmiotu przedstawione są zasady wymiarowania konstrukcji budowlanych i ich elementów,
ze szczególnym uwzględnieniem uproszczonych metod inżynierskich, analizy sztywności przestrzennej
budynków, obciążeń normalnych i wyjątkowych, w tym pożaru oraz możliwości komputerowego wspomagania
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inne).&lt;br&gt;
● Ustroje konstrukcyjne budynków wielokondygnacyjnych wysokościowych:
mieszkalnych, hotelowych, biurowych, handlowych, parkingów, wysokich wielofunkcyjnych.&lt;br&gt;
● Zapewnienie sztywności przestrzennej budynku na działanie sił pionowych i poziomych –
kształtowanie konstrukcji, analiza obciążeń normalnych i wyjątkowych.&lt;br&gt;
● Metody wykonywania budynków żelbetowych, stalowych i żelbetowo-stalowych.&lt;br&gt;
● Schematy obliczeniowe i metody wyznaczania sił przekrojowych – metody analityczne, inżynierskie,
uproszczone, wspomaganie komputerowe.&lt;br&gt;
● Wymiarowanie układów konstrukcyjnych budynków wysokościowych i ich elementów.&lt;br&gt;
● Elementy obudowy i wykończenia budynku.&lt;br&gt;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
zagadnień konstrukcyjnych i materiałowych. Wykonanie projektu zawierającego wymiarowanie głównych
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Warszawa;&lt;br&gt;
[2] Sieczkowski J. Kapela M..: Projektowanie konstrukcji budynków wielokondygnacyjnych, Oficyna
Wydawnicza Politechniki Warszawskiej, 2003;&lt;br&gt;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BUDWYSW1: </w:t>
      </w:r>
    </w:p>
    <w:p>
      <w:pPr/>
      <w:r>
        <w:rPr/>
        <w:t xml:space="preserve">Wiedza na temat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projektu,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BUDWYSU1: </w:t>
      </w:r>
    </w:p>
    <w:p>
      <w:pPr/>
      <w:r>
        <w:rPr/>
        <w:t xml:space="preserve">Umiejętności wymiarowania konstrukcji budowlanych i ich elementów, ze szczególnym uwzględnieniem wykorzystania metod uproszczonych inżynierskich, analizy sztywności przestrzennej budynków, obciążeń normalnych i wyjątkowych, w tym pożaru oraz możliwości komputerowego wspomagania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K2_U18_KBI, 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T2A_U07, T2A_U08, T2A_U09, 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BUDWYSK1: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Rozumie znaczenie odpowiedzialności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2024-05-05T09:00:26+02:00</dcterms:created>
  <dcterms:modified xsi:type="dcterms:W3CDTF">2024-05-05T09:00:26+02:00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