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Dariusz Godlewski, dr inż. Instytut Dróg i Mostów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UTECHD</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12h, ćwiczenia projektowe 12h, samodzielne wykonanie projektu 15h, nauka do egzaminu i egzamin 15h, konsultacje 5h. Razem 59h.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ćwiczenia projektowe 12h, konsultacje 5h.Razem 29h.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12h, samodzielne wykonanie projektu 13h, konsultacje 5h. Razem 30h. 1punktu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1.Niektóre urządzenia stałe komunikacyjnych budowli ziemnych
 Urządzenia ochrony wód gruntowych. Zbiorniki retencji
2.Budowle systemów szynowych w pasach dróg samochodowych
Nawierzchnie tramwajowe i przejazdy jednopoziomowe.
3.Inżynieria MOP-ów. (Miejsca Obsługi Podróżnych) dróg szybkiego ruchu i autostrad.
Klasyfikacja MOP-ów . Modułowe systemy aranżacji MOP. Nawierzchnie. Odwodnienie. Organizacja ruchu.
4.Budowle ochrony akustycznej otoczenia dróg
Oblicz. Poziomy obciążeń hałasem. Specyfikacje techn ekranów akustycz.
5.Urządzenia wibroizolacji drogi
Sposoby ograniczenia drgań podłoża. Systemy izolacji drgań podłoża drogi.
6.Urządzenia i budowle zabezpieczeń ruchu drogowego
Typologia urządzeń. Podstawy konstrukcji budowli energochłonnych i barier.
Urządzenia spowalniania ruchu.
7.Budowle i urządzenia nośne oznakowań, informacji i oświetlenia drogi.
Konstrukcje stalowe, podstawy projektowania
8.Urządzenia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Ciesielski R., Maciąg E.; Drgania drogowe i ich wpływ na budynki. WKiŁ 1990
Gradkowski. K.; Stałe urządzenia techniczne dróg. OW PW 2010.- skrypt, oraz publikacje  http://wektor.il.pw.edu.pl/~zik/p-gradkowski-o.html
Makarewicz R.; Hałas w środowisku. OWN, Poznań 1996.
</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UTECHDW1: </w:t>
      </w:r>
    </w:p>
    <w:p>
      <w:pPr/>
      <w:r>
        <w:rPr/>
        <w:t xml:space="preserve">Posiada wiedzę o rozpoznaniu i anlizie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UTECHDU1: </w:t>
      </w:r>
    </w:p>
    <w:p>
      <w:pPr/>
      <w:r>
        <w:rPr/>
        <w:t xml:space="preserve">Posiada umiejętność sporządzania elemntów projektu budowlanego i prowadzenie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rozwiązan technicznych opracowanych w ramch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UTECHDK1: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2026-08-17T13:30:43+02:00</dcterms:created>
  <dcterms:modified xsi:type="dcterms:W3CDTF">2026-08-17T13:30:43+02:00</dcterms:modified>
</cp:coreProperties>
</file>

<file path=docProps/custom.xml><?xml version="1.0" encoding="utf-8"?>
<Properties xmlns="http://schemas.openxmlformats.org/officeDocument/2006/custom-properties" xmlns:vt="http://schemas.openxmlformats.org/officeDocument/2006/docPropsVTypes"/>
</file>