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&lt;ol&gt;&lt;li&gt;Budynki i budowle zmiennokształtne
&lt;li&gt;Budynki wysokościowe
&lt;li&gt;Budynki na wodzie i sztuczne wyspy
&lt;li&gt;Budynki i budowle podwodne
&lt;li&gt;Budynki, osiedla i miasta dodatnioenergetyczne
&lt;li&gt;Budynki z surowej ziemi - ekologia i nowoczesny standard
&lt;li&gt;Konstrukcje tensegrity
&lt;li&gt;Imponujące polskie konstrukcje, które wniosły wkład w rozwój budownictwa na światowe.
&lt;li&gt;Inżynieria kosmiczna 
&lt;li&gt;Inżynieria przyszłości&lt;/ol&gt;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Engineering;&lt;br&gt;
[2] J. Wines: Zielona Architektura;&lt;br&gt;
[3] P. Jodidio: Architecture now!;&lt;br&gt;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BUDEKSW1: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BUDEKSU1: </w:t>
      </w:r>
    </w:p>
    <w:p>
      <w:pPr/>
      <w:r>
        <w:rPr/>
        <w:t xml:space="preserve">Student umie zidentyfikować kluczowy problem konstrukcyjny wielu zaawansowanych konstrukcji, jak również potrafi zaproponować dla nich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BUDEKSKS1: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2026-06-11T06:52:39+02:00</dcterms:created>
  <dcterms:modified xsi:type="dcterms:W3CDTF">2026-06-11T06:52:39+02:00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