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inżynierskich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Grażyna Łozińska, 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KWPIKB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56 godz. = 2 ECTS: ćwiczenia (laboratorium komputerowe)  30 godz., studiowanie literatury 12 godz., ćwiczenia własne 10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34 godz. = 1 ECTS: ćwiczenia (laboratorium komputerowe) 30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44 godz. = 1.5 ECTS: ćwiczenia (laboratorium komputerowe) 30 godz., ćwiczenia własne 10 godz.,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przyszłego inżyniera budowlanego do działalności profesjonalnej, a mianowicie do pracy w biurze projektowym, na budowie lub przy obsłudze inwestycji, z wykorzystaniem elektronicznej techniki obliczeniowej. W pierwszej kolejności słuchacze zapoznani będą z obsługą
i wykorzystaniem praktycznym, przetestowanego oprogramowania do projektowania i realizacji inżynierskich konstrukcji budowlanych, stosowanego najczęściej przez jednostki projektowe i wykonawcze. W ramach zajęć
przewiduje się przeszkolenie w zakresie użytkowania wybranego oprogramowania, służącego do obliczania i wymiarowania konstrukcji żelbetowych, stalowych, murowych, drewnianych, fundamentów oraz programów
z zakresu kosztorysowania i realizacji inwestycji. Będą również omówione wybrane zagadnienia      z zakresu używanego powszechnie oprogramowania kreślącego. W tak pomyślanym cyklu szkolenia przewiduje się ćwiczenia praktyczne na specjalnie dobranych przykładach, odpowiednich dla każdego z omawianych
zagadnień. Dobór oprogramowania oparty będzie na kryteriach, jakimi są wartość merytoryczna oraz stopień wykorzystania przez jednostki projektowe i wykonawcze. Wykorzystanie najnowszych narzędzi programowych,                  o zaawansowanej grafice przestrzennej, ma również za zadanie pogłębienie zrozumienia problemów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&lt;ol&gt;&lt;li&gt;Szkolenie w zakresie użytkowania wybranego oprogramowania do obliczeń i wymiarowania poszczególnych
typów konstrukcji budowlanych.
&lt;li&gt;Analiza układów nośnych konstrukcji budowlanych.
&lt;li&gt;Analiza sztywności przestrzennej.
&lt;li&gt;Modelowanie wszystkich rodzajów obciążeń.
&lt;li&gt;Szkolenie uzupełniające w zakresie stosowania najnowszych wersji oprogramowania kreślącego oraz oprogramowania wspomagającego.
&lt;li&gt;Wprowadzenie do przestrzennego modelowania konstrukcji oraz elementy wizualizacji.
&lt;li&gt;Wstępne przeszkolenie w zakresie oprogramowania do wyceny kosztów realizacji konstrukcji z wykorzystaniem
istniejącej dokumentacji cyfrowej.&lt;/ol&gt;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ćwiczeń przejściowych dla poszczególnych etapów szkolenia.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Kobiak J., Stachurski W.: Konstrukcje Żelbetowe, tom 1, Arkady, Warszawa 1995.&lt;br&gt;
[2] Kobiak J., Stachurski W.: Konstrukcje Żelbetowe, tom 2, Arkady, Warszawa 1987.&lt;br&gt;
[3] Starosolski W.: Konstrukcje Żelbetowe, tom 1   i 2, Wydawnictwo Naukowe PWN, Warszawa-Poznań 2006.&lt;br&gt;
[4] ŻółtowskiW., Łubieński M., Konstrukcje Metalowe cz. 1 i 2, Arkady, Warszawa 2005.&lt;br&gt;
[5] Żmuda J., Podstawy projektowania konstrukcji metalowych, Arkady, Warszawa 2007.&lt;br&gt;
[6] Biegus A.: Stalowe Budownictwo Halowe, Arkady, Warszawa 2004.&lt;br&gt;
[7] Kotwica J., Konstrukcje drewniane w budownictwie tradycyjnym, Arkady, Warszawa 2004.&lt;br&gt;
[8] Sieczkowski J., Nejman T., Ustroje budowlane, Oficyna Wydawnicza Politechniki Warszawskiej, 2002.&lt;br&gt;
[9] Polskie Normy z zakresu omawianych zagadnień.&lt;br&gt;
[10] Instrukcje obsługi dla zastosowanego oprogramowania.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KWPIKBW1: </w:t>
      </w:r>
    </w:p>
    <w:p>
      <w:pPr/>
      <w:r>
        <w:rPr/>
        <w:t xml:space="preserve">							Zna oprogramowanie do projektowania i realizacji inżynierskich konstrukcji budowlanych, stosowane najczęściej przez jednostki projektowe i wykonawcze.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przejściowych dla poszczególnych etapów szkolenia.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KWPIKBU1: </w:t>
      </w:r>
    </w:p>
    <w:p>
      <w:pPr/>
      <w:r>
        <w:rPr/>
        <w:t xml:space="preserve">							Potrafi dla danej konstrukcji zdefiniować model obliczeniowy, dokonać analizy poszczególnych układów nośnych, dokonać analizy sztywności przestrzennej,                        z zamodelowaniem wszystkich rodzajów obciążeń, wykonaniem dokumentacji rysunkowej, oraz sporządzeniem wyceny kosztów realizacji inwestycji z wykorzystaniem istniejącej dokumentacji cyfrowej [w zakresie wiedzy na poziomie studiów I stopnia].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przejściowych dla poszczególnych etapów szkolenia.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K1_U06, K1_U12,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T1A_U15, T1A_U03, T1A_U05, T1A_U14, T1A_U15, T1A_U16,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KWPIKBK1: </w:t>
      </w:r>
    </w:p>
    <w:p>
      <w:pPr/>
      <w:r>
        <w:rPr/>
        <w:t xml:space="preserve">							Potrafi kreatywnie i odpowiedzialnie wykonać postawione przed nim zadania zrealizowania czynności projektowych, wymagających nieustannego podnoszenia kwalifikacji zawodowych  w oparciu o najnowsze narzędzia z zakresu techniki cyfrowej.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przejściowych dla poszczególnych etapów szkolenia.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2026-06-11T01:51:26+02:00</dcterms:created>
  <dcterms:modified xsi:type="dcterms:W3CDTF">2026-06-11T01:51:26+02:00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