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inżynierskie i ich modelowanie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Wojciech Gilewski, prof.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KIiM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30 godz., praca własna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wykład, praca własna 20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20 godz. = 1 ECTS: praca własna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z przedmiotów konstrukcyjnych, Mechaniki Konstrukcji i Wytrzymałości Materiałów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innowacyjnymi konstrukcjami inżynierskimi i ich modelowaniem komputerowym przy wykorzystaniu Metody Elementów Skończonych.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Innowacyjne konstrukcje inżynierskie.
Konstrukcje tensegrity.
Konstrukcje na bazie origami.
Tensairity.
Konstrukcje tkaninopodobne.
Zasady modelowania komputerowego konstrukcji.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projektowa.
Prezentacja.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...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KIiMW1: </w:t>
      </w:r>
    </w:p>
    <w:p>
      <w:pPr/>
      <w:r>
        <w:rPr/>
        <w:t xml:space="preserve">Zna zasady modelowania numerycznego 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K1_W04, K1_W24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T1A_W05, T1A_W06, T1A_W07,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KIiMU1: </w:t>
      </w:r>
    </w:p>
    <w:p>
      <w:pPr/>
      <w:r>
        <w:rPr/>
        <w:t xml:space="preserve">Umie zbudować model MES złożonej konstrukcji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KIiMK1: </w:t>
      </w:r>
    </w:p>
    <w:p>
      <w:pPr/>
      <w:r>
        <w:rPr/>
        <w:t xml:space="preserve">Potrafi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2026-09-12T01:03:39+02:00</dcterms:created>
  <dcterms:modified xsi:type="dcterms:W3CDTF">2026-09-12T01:03:39+02:00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