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zajęcia z nauczycielem akademickim 30 godzin, samodzielna praca studenta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HESWYB2W1: </w:t>
      </w:r>
    </w:p>
    <w:p>
      <w:pPr/>
      <w:r>
        <w:rPr/>
        <w:t xml:space="preserve">Właściwy dla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HESWYB2K1: </w:t>
      </w:r>
    </w:p>
    <w:p>
      <w:pPr/>
      <w:r>
        <w:rPr/>
        <w:t xml:space="preserve">Rozumie techniczne i pozatechniczne aspekty działalności człowieka. Wie o konieczności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2024-05-04T13:47:49+02:00</dcterms:created>
  <dcterms:modified xsi:type="dcterms:W3CDTF">2024-05-04T13:47:49+02:00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