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- 15 godzin, opracowanie zadań dotyczacych wydania decyzji o warunkach zabudowy lub decyzji o lokalizacji inwestycji celu publicznego związanych z gospodarką odpadami - 20,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na poziomie gminnym(w tym  miejscowych planów zagospodarowania przestrzennego wraz z prognozą) i przygotowania wniosku o wydanie decyzji o warunkach zabudowy lub decyzji o lokalizacji inwestycji celu publicznego związanych z gospodarką odpadami</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Wybrane problemy kształtowania przestrzeni miast i wsi (struktura funkcjonalno przestrzenna miast, elementy składowe krajobrazu wsi, zarys zasad kształtowania przestrzeni miasta i wsi)   
Proces planowania na poziomie gminnym ze szczególnym uwzględnieniem zabezpieczenia terenu pod instalacje do odzysku i unieszkodliwiania odpadów (metody diagnozowania stanu środowiska i stanu zagospodarowania terenu,  standardy środowiskowe i urbanistyczne, dokumentacja prac planistycznych, technika graficznego i tekstowego zapisu ustaleń planistycznych w studiach uwarunkowań i kierunków zagospodarowania przestrzennego gminy i miejscowych planach zagospodarowania przestrzennego)
Procedura korzystania z przestrzeni powiązana z wyborem miejsca lokalizacji instalacji do odzysku i unieszkodliwiania odpadów (skutki prawne miejscowych planów zagospodarowania przestrzennego, decyzja o warunkach zabudowy i zagospodarowania przestrzennego, decyzja o lokalizacji inwestycji celu publicznego, ograniczenia w korzystaniu z przestrzeni, obszary szczególnego przeznaczenia, konflikty przestrzenne, ). </w:t>
      </w:r>
    </w:p>
    <w:p>
      <w:pPr>
        <w:keepNext w:val="1"/>
        <w:spacing w:after="10"/>
      </w:pPr>
      <w:r>
        <w:rPr>
          <w:b/>
          <w:bCs/>
        </w:rPr>
        <w:t xml:space="preserve">Metody oceny: </w:t>
      </w:r>
    </w:p>
    <w:p>
      <w:pPr>
        <w:spacing w:before="20" w:after="190"/>
      </w:pPr>
      <w:r>
        <w:rPr/>
        <w:t xml:space="preserve">zaliczenie ćwiczeń (Obecność na zajęciach, wykonanie zadan realizowanych na cwiczeniach,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(tekst jednolity Dz. U. 2013, poz.1232 z późn. zm.)
Ustawa z dnia 7 lipca 1994 r. Prawo budowlane (tekst jednolity Dz.U. 2013, poz 1409 z pózn. zm.)
Ustawa o odpadach z dnia 14 grudnia 2012 r. (Dz.U. 2013, poz. 21 z pózn. zm)
Ustawa Prawo wodne z dnia 18 lipca 2001 r. (tekst jednolity Dz. U. 2012, poz 145  z poźn. zm.)
Ustawa z dnia 16 kwietnia 2004 r. o ochronie przyrody (tekst jednolity Dz. U. 2014, poz. 627 z pózn. zm)
Ustawa z dnia 23 lipca 2003 r. o ochronie zabytków i opiece nad zabytkami (Dz. U. 2003.162.1568 z pózn. zm.)
Ustawa o gospodarce nieruchomościami z dnia 21 sierpnia 1997 r. (Dz. U. 2014poz. 423 z pózn. zm.
Rozporządzenie Ministra Środowiska z dnia 9 września 2002 r. w sprawie opracowań ekofizjograficznych (Dz. U. 2002.155.1298).
Rozporządzenie Ministra Infrastruktury z dnia 26 sierpnia 2003 r. w sprawie wymaganego zakresu projektu miejscowego planu zagospodarowania przestrzennego (Dz. U. 2003.164.1587)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z pózn. zm.)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Kietliński W. Janowska J. Proces inwestycyjny w budownictwie, Oficyna Wydawnicza Politechniki Warszawskiej,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w01: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wo3: </w:t>
      </w:r>
    </w:p>
    <w:p>
      <w:pPr/>
      <w:r>
        <w:rPr/>
        <w:t xml:space="preserve"> 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2026-03-24T02:49:15+01:00</dcterms:created>
  <dcterms:modified xsi:type="dcterms:W3CDTF">2026-03-24T02:49:15+01:00</dcterms:modified>
</cp:coreProperties>
</file>

<file path=docProps/custom.xml><?xml version="1.0" encoding="utf-8"?>
<Properties xmlns="http://schemas.openxmlformats.org/officeDocument/2006/custom-properties" xmlns:vt="http://schemas.openxmlformats.org/officeDocument/2006/docPropsVTypes"/>
</file>