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(zajęcia ćwiczeniowe) + 1h (konsultacje) + 42h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(zajęcia ćwiczeniowe)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							Ma usystematyzowaną wiedzę niezbędną do poznania i opanowania metod oraz formuł związanych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							Potrafi samodzielnie dokonać obliczeń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7P1Z4_U01: </w:t>
      </w:r>
    </w:p>
    <w:p>
      <w:pPr/>
      <w:r>
        <w:rPr/>
        <w:t xml:space="preserve">							Potrafi wykorzystać zestaw narzędzi pozwalających na ob-liczenie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							Rozumie ograniczenia wynikające z aktualnego poziomu wiedzy w zakresie prawa podatkowego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7P1Z4_K01: </w:t>
      </w:r>
    </w:p>
    <w:p>
      <w:pPr/>
      <w:r>
        <w:rPr/>
        <w:t xml:space="preserve">							Ma świadomość poziomu swojej wiedzy i umiejętności, ro-zumie konieczność dalszego doskonalenia zawodowego i rozwoju osobistego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2024-05-05T03:10:57+02:00</dcterms:created>
  <dcterms:modified xsi:type="dcterms:W3CDTF">2024-05-05T03:10:57+02:00</dcterms:modified>
</cp:coreProperties>
</file>

<file path=docProps/custom.xml><?xml version="1.0" encoding="utf-8"?>
<Properties xmlns="http://schemas.openxmlformats.org/officeDocument/2006/custom-properties" xmlns:vt="http://schemas.openxmlformats.org/officeDocument/2006/docPropsVTypes"/>
</file>