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Fizjologia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12h (ćwiczenia) + 1h (udział w konsultacjach) + 24h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o normach funkcjonowania człowieka zawartych w fizjo-logii pracy, 
- potrafił wykorzystać  zdobytą  wiedzę  z  fizjologii  pracy  w organiza-cji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Rola fizjologii pracy w kształtowaniu warunków pracy. 2) Koszt fi-zjologiczny i energetyczny pracy fizycznej dynamicznej - pojęcia, me-tody oceny, optymalizacja obciążeń. 3) Ocena obciążenia pracą fizyczną dynamiczną na stanowisku pracy. 4) Koszt fizjologiczny i energetyczny pracy fizycznej statycznej - pojęcia, metody oceny, optymalizacja obciążeń. 5) Termoregulacja organizmu człowieka i obciążenie termiczne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eksperymenty, OWPW, Warszawa 2007. [2] Górska E., Lewandowski J.: Podstawy za-rządzania i kształtowania środowiska pracy, OWPW, Warszawa 2002. [3] Kozłowski S., Nazar K.: Wprowadzenie do fizjologii klinicznej. Wyd. III. Warszawa, PZWL 1999. [4] Marcinkowski J.T. (red.): Medy-cyna pracy. Wyd.  AM, Poznań1996. [5] Marek K. (red.): Choroby za-wodowe. PZWL, Warszawa 2001. [6] Rozp. R. M. z 30 czerwca 2009 r. w sprawie chorób zawodowych (Dz.U. 105, poz. 869).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6P1Z6_W01: </w:t>
      </w:r>
    </w:p>
    <w:p>
      <w:pPr/>
      <w:r>
        <w:rPr/>
        <w:t xml:space="preserve">							ma wiedzę o normach funkcjonowania człowieka zawar-tych w fizjologii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6P1Z6_U01: </w:t>
      </w:r>
    </w:p>
    <w:p>
      <w:pPr/>
      <w:r>
        <w:rPr/>
        <w:t xml:space="preserve">							wykorzystuje  zdobytą  wiedzę  z  fizjologii  pracy  w orga-nizacji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2024-04-29T01:06:56+02:00</dcterms:created>
  <dcterms:modified xsi:type="dcterms:W3CDTF">2024-04-29T01:06:56+02:00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