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10h (zajęcia seminaryjne) + 28h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0,5ECTS: 
12h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12h (zajęcia seminaryjne) + 28h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litera-turowych.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promotorów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związane są bezpośrednio z realizacją pracy dyplomowej. W ramach seminarium rozwijane są przede wszystkim umiejętności i kompetencja społeczne.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SEMD1_U01: </w:t>
      </w:r>
    </w:p>
    <w:p>
      <w:pPr/>
      <w:r>
        <w:rPr/>
        <w:t xml:space="preserve">potrafi odnaleźć i właściwie wykorzystać źródła informacji, odnoszące się do obszaru problemowego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informa-cji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SEMD1_U02: </w:t>
      </w:r>
    </w:p>
    <w:p>
      <w:pPr/>
      <w:r>
        <w:rPr/>
        <w:t xml:space="preserve">potrafi zarządzać własnym czasem, podejmować zobowiązania i dotrzymywać terminów harmonogramu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SEMD1_U03: </w:t>
      </w:r>
    </w:p>
    <w:p>
      <w:pPr/>
      <w:r>
        <w:rPr/>
        <w:t xml:space="preserve">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odczuwa konieczność aktualizacji wiedzy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rozumie potrzebę zachowań personalnych, przestrzega zasad etyki, unikania zjawiska plagiatu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2024-05-07T09:18:14+02:00</dcterms:created>
  <dcterms:modified xsi:type="dcterms:W3CDTF">2024-05-07T09:18:14+02:00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