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na podstawie danych pomiarowych. Wykonanie oceny stanu hydromorfologicznego odcinka rzenego.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Rozporządzenia dotyczące monitoringu i klasyfikacji wód powierzchniowych.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W01: </w:t>
      </w:r>
    </w:p>
    <w:p>
      <w:pPr/>
      <w:r>
        <w:rPr/>
        <w:t xml:space="preserve">Zna strukturę, cele, zadnia i sposób działania Państwowego Monitoringu
Środowiska.</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keepNext w:val="1"/>
        <w:spacing w:after="10"/>
      </w:pPr>
      <w:r>
        <w:rPr>
          <w:b/>
          <w:bCs/>
        </w:rPr>
        <w:t xml:space="preserve">Efekt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5" w:name="_Toc5"/>
      <w:r>
        <w:t>Profil ogólnoakademicki - kompetencje społeczne</w:t>
      </w:r>
      <w:bookmarkEnd w:id="5"/>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2025-12-26T17:09:44+01:00</dcterms:created>
  <dcterms:modified xsi:type="dcterms:W3CDTF">2025-12-26T17:09:44+01:00</dcterms:modified>
</cp:coreProperties>
</file>

<file path=docProps/custom.xml><?xml version="1.0" encoding="utf-8"?>
<Properties xmlns="http://schemas.openxmlformats.org/officeDocument/2006/custom-properties" xmlns:vt="http://schemas.openxmlformats.org/officeDocument/2006/docPropsVTypes"/>
</file>