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 </w:t>
      </w:r>
    </w:p>
    <w:p>
      <w:pPr>
        <w:keepNext w:val="1"/>
        <w:spacing w:after="10"/>
      </w:pPr>
      <w:r>
        <w:rPr>
          <w:b/>
          <w:bCs/>
        </w:rPr>
        <w:t xml:space="preserve">Koordynator przedmiotu: </w:t>
      </w:r>
    </w:p>
    <w:p>
      <w:pPr>
        <w:spacing w:before="20" w:after="190"/>
      </w:pPr>
      <w:r>
        <w:rPr/>
        <w:t xml:space="preserve">dr hab. inz. Karol Prałat/adiunkt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- 10; przygotowanie do zajęć - 20; zapoznanie się z literaturą - 5; przygotowanie do kolokwium - 5; przygotowanie prezentacji - 10;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Studenci reprezentują poziom znajomości języka angielskiego na poziomie B2</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2024-05-06T19:57:47+02:00</dcterms:created>
  <dcterms:modified xsi:type="dcterms:W3CDTF">2024-05-06T19:57:47+02:00</dcterms:modified>
</cp:coreProperties>
</file>

<file path=docProps/custom.xml><?xml version="1.0" encoding="utf-8"?>
<Properties xmlns="http://schemas.openxmlformats.org/officeDocument/2006/custom-properties" xmlns:vt="http://schemas.openxmlformats.org/officeDocument/2006/docPropsVTypes"/>
</file>