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bieżąca nauka 10 godz., przygotowanie do sprawdzianu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inzynierii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komunikacyjnych (podstawowe pojęcia, typy modeli, stosowane metody matematyczne m.in. teoria masowej obsługi, symulacja, proces badań symulacyjnych, przykłady zastosowania w inżynierii komunikacyjnej), • zarządzanie procesem projektowania, • dziedziny pokrewne (hałas, emisja spalin itp.), • budowa (sterowanie maszynami), • eksploatacja (telematyka, banki sieci drogowych), • prezentacje najnowszych wersji oprogramowania lub sprzętu, • przegląd nowinek.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lub&lt;br&gt;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 na stronie http://wektor.il.pw.edu.pl/~zik &gt; Materiały; 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http://wektor.il.pw.edu.pl/~zik/ &gt; Materiały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MEKIKDSW1: </w:t>
      </w:r>
    </w:p>
    <w:p>
      <w:pPr/>
      <w:r>
        <w:rPr/>
        <w:t xml:space="preserve">Ma ogólną wiedzę o zastosowaniu nowoczesnych technik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MEKIKDSU1: </w:t>
      </w:r>
    </w:p>
    <w:p>
      <w:pPr/>
      <w:r>
        <w:rPr/>
        <w:t xml:space="preserve">	potrafi wykorzystać nowoczesne techniki stosowane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MEKIKDSK1: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2024-05-05T20:21:55+02:00</dcterms:created>
  <dcterms:modified xsi:type="dcterms:W3CDTF">2024-05-05T20:21:55+02:00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