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żelaza/ Material Expertise Seminar</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EMST</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metali nieżelaznych,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SPWMII_1: </w:t>
      </w:r>
    </w:p>
    <w:p>
      <w:pPr/>
      <w:r>
        <w:rPr/>
        <w:t xml:space="preserve">Posiada wiedzę z zakresu ekspertyz detali wykonanych ze stopów metali nieżelaznych</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 InzA_W05</w:t>
      </w:r>
    </w:p>
    <w:p>
      <w:pPr>
        <w:pStyle w:val="Heading3"/>
      </w:pPr>
      <w:bookmarkStart w:id="3" w:name="_Toc3"/>
      <w:r>
        <w:t>Profil ogólnoakademicki - umiejętności</w:t>
      </w:r>
      <w:bookmarkEnd w:id="3"/>
    </w:p>
    <w:p>
      <w:pPr>
        <w:keepNext w:val="1"/>
        <w:spacing w:after="10"/>
      </w:pPr>
      <w:r>
        <w:rPr>
          <w:b/>
          <w:bCs/>
        </w:rPr>
        <w:t xml:space="preserve">Efekt SPWMII_U1: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SPWMII_U2: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2025-10-31T14:31:25+01:00</dcterms:created>
  <dcterms:modified xsi:type="dcterms:W3CDTF">2025-10-31T14:31:25+01:00</dcterms:modified>
</cp:coreProperties>
</file>

<file path=docProps/custom.xml><?xml version="1.0" encoding="utf-8"?>
<Properties xmlns="http://schemas.openxmlformats.org/officeDocument/2006/custom-properties" xmlns:vt="http://schemas.openxmlformats.org/officeDocument/2006/docPropsVTypes"/>
</file>