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 Laboratorium/ Physics of Plastic Deformation - Laboratory</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FOPL</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15 godzin, w tym 1godzina - wprowadzenie do ćwiczeń, 12 godzin - ćwiczeń w laboratorium, 2 godziny - kolokwium zaliczeniowe. 
15 godzin pracy własnej, w tym: przygotowanie się do kolokwium, sporządzanie sprawozdań. Razem 30 godzin – 1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laboratorium 15 godzin, 12 godzin pracy własnej, w tym: przygotowanie i sporządzanie sprawozdań –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Synteza wiedzy zdobytej z zakresu defektów struktury krystalicznej, struktury stopów i mechaniki materiałów metalicznych.
2. Uświadomienie istoty mechanizmów umocnienia i odkształcania materiałów.
3. Zrozumienie procesów fizycznych zachodzących podczas kształtowania i eksploatacji materiałów.
4.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 rekrystalizacja dynamiczna.
3. Wpływ karbu na własności plastyczne metali.
4. Wyznaczanie współczynnika czułości na prędkość odkształcania.</w:t>
      </w:r>
    </w:p>
    <w:p>
      <w:pPr>
        <w:keepNext w:val="1"/>
        <w:spacing w:after="10"/>
      </w:pPr>
      <w:r>
        <w:rPr>
          <w:b/>
          <w:bCs/>
        </w:rPr>
        <w:t xml:space="preserve">Metody oceny: </w:t>
      </w:r>
    </w:p>
    <w:p>
      <w:pPr>
        <w:spacing w:before="20" w:after="190"/>
      </w:pPr>
      <w:r>
        <w:rPr/>
        <w:t xml:space="preserve">Niezbędnym do uzyskania zaliczenia z przedmiotu jest uzyskanie pozytywnej oceny z wszystkich ćwiczeń laboratoryjnych oraz kolokwium końcowego.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Metaloznawstwo Teoretyczne, skrypt AGH nr 984, Kraków 1985. 
4. R. Pampuch, Zarys Nauki o Materiałach – materiały ceramiczne, PWN 1997.
5. Przybyłowicz, Strukturalne aspekty odkształcania metali,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p>
      <w:pPr>
        <w:keepNext w:val="1"/>
        <w:spacing w:after="10"/>
      </w:pPr>
      <w:r>
        <w:rPr>
          <w:b/>
          <w:bCs/>
        </w:rPr>
        <w:t xml:space="preserve">Efekt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2026-09-09T00:16:46+02:00</dcterms:created>
  <dcterms:modified xsi:type="dcterms:W3CDTF">2026-09-09T00:16:46+02:00</dcterms:modified>
</cp:coreProperties>
</file>

<file path=docProps/custom.xml><?xml version="1.0" encoding="utf-8"?>
<Properties xmlns="http://schemas.openxmlformats.org/officeDocument/2006/custom-properties" xmlns:vt="http://schemas.openxmlformats.org/officeDocument/2006/docPropsVTypes"/>
</file>