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9
Zapoznanie się ze wskazana literaturą 15
Przygotowanie do ćwiczeń  14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9
Konsultacje z wykładowcą 3
Razem 21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ma podstawową wiedzę w zakresie środków i metod zarządzania i sterowania ruchem drogowym.</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w:t>
      </w:r>
    </w:p>
    <w:p>
      <w:pPr>
        <w:spacing w:before="60"/>
      </w:pPr>
      <w:r>
        <w:rPr/>
        <w:t xml:space="preserve">Weryfikacja: </w:t>
      </w:r>
    </w:p>
    <w:p>
      <w:pPr>
        <w:spacing w:before="20" w:after="190"/>
      </w:pPr>
      <w:r>
        <w:rPr/>
        <w:t xml:space="preserve">ćwiczenia – kolokwia i ocena aktywności</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2026-07-27T09:31:50+02:00</dcterms:created>
  <dcterms:modified xsi:type="dcterms:W3CDTF">2026-07-27T09:31:50+02:00</dcterms:modified>
</cp:coreProperties>
</file>

<file path=docProps/custom.xml><?xml version="1.0" encoding="utf-8"?>
<Properties xmlns="http://schemas.openxmlformats.org/officeDocument/2006/custom-properties" xmlns:vt="http://schemas.openxmlformats.org/officeDocument/2006/docPropsVTypes"/>
</file>