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9
Zapoznanie się ze wskazana literaturą 15
Przygotowanie do ćwiczeń  14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9
Konsultacje z wykładowcą 3
Razem 21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ma podstawową wiedzę w zakresie środków i metod zarządzania i sterowania ruchem drogowym.</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w:t>
      </w:r>
    </w:p>
    <w:p>
      <w:pPr>
        <w:spacing w:before="60"/>
      </w:pPr>
      <w:r>
        <w:rPr/>
        <w:t xml:space="preserve">Weryfikacja: </w:t>
      </w:r>
    </w:p>
    <w:p>
      <w:pPr>
        <w:spacing w:before="20" w:after="190"/>
      </w:pPr>
      <w:r>
        <w:rPr/>
        <w:t xml:space="preserve">ćwiczenia – kolokwia i ocena aktywności</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2024-05-06T02:46:26+02:00</dcterms:created>
  <dcterms:modified xsi:type="dcterms:W3CDTF">2024-05-06T02:46:26+02:00</dcterms:modified>
</cp:coreProperties>
</file>

<file path=docProps/custom.xml><?xml version="1.0" encoding="utf-8"?>
<Properties xmlns="http://schemas.openxmlformats.org/officeDocument/2006/custom-properties" xmlns:vt="http://schemas.openxmlformats.org/officeDocument/2006/docPropsVTypes"/>
</file>