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Drogi i ulice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Józef Suda, ad., Wydział Transportu Politechniki Warszawskiej Zakład Sterowania Ruchem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TR.SIP522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 godz., w tym: praca na wykładach 45 godz., studiowanie literatury przedmiotu 18 godz., przygotowanie do egzaminu 8 godz., konsultacje 2 godz., udział w egzaminie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2,0 pkt. ECTS (49 godz., w tym: praca na wykładach 45 godz., konsultacje 2 godz., udział w egzaminie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Drogowe układy komunikacyjne I, Infrastruktura transportu 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wiedzy z zakresu planowania przestrzennego, programowania sieci drogowej, planowania dróg, projektowania geometrycznego dróg i ulic. Uzyskanie wiedzy i umiejętności stosowania rożnych metod i środków organizacji ruchu w tym oznakowania pionowego, poziomego, urządzeń sterowana i bezpieczeństwa ruchu.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Rodzaje planowania przestrzennego. Obsługa transportowa w zależności użytkowania terenu. Klasyfikacje dróg i ulic: ze względu na dostępność i obsługę terenu, klasyfikacja funkcjonalno-administracyjna, klasyfikacja techniczna. Badania i ocena sieci drogowej: gęstość, spójność, dostępność węzłów, ocena techniczno eksploatacyjna wartości dróg. Proces programowania, planowania, i projektowania modernizacji i rozwoju dróg. Ogólne warunki projektowania dróg: techniczno-ruchowe, ekonomiczno-finansowe, środowiskowe, estetyki, utrzymania, wynikające z porozumień międzynarodowych. Teoretyczne podstawy projektowania geometrycznego dróg i ulic: Projektowanie geometryczne drogi w planie i w przekroju podłużnym: tyczenie niwelety, bilans prac ziemnych. Koordynacja elementów geometrycznych drogi. Projektowanie przekroju poprzecznego drogi. Nawierzchnie drogowe. Uzbrojenie inżynieryjne ulicy. Węzły, skrzyżowania: podstawowe warunki stosowania, i projektowania. Widoczność na skrzyżowaniu. Urządzenia dla ruchu pieszego, transportu publicznego, ruchu rowerowego. Organizacja i zabezpieczanie ruchu: cele, zasady, metody i środki, systemy informacyjne, Ekologiczne aspekty projektowania dróg i ulic.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Gaca S., Suchorzewski W., Tracz M.: "Inżynieria ruchu drogowego. Teoria i praktyka", WKiŁ 2008. 
2.	Krystek R.: „Węzły drogowe i autostradowe”, WKiŁ 1998 r.
3.	„Szczegółowe warunki techniczne dla znaków i sygnałów drogowych oraz urządzeń bezpieczeństwa ruchu drogowego i warunki ich umieszczania na drogach”, Dz.U. RP, Załącznik do nru 220, poz.2181 z dnia 23 grudnia 2003 r. 
4.	Towpik K., Gołaszewski A., Kukulski J. Infrastruktura transportu samochodowego  – OWPW, Warszawa, 2006.
5.	Wytyczne projektowania dróg – GDDP, Warszawa, 1995. 
6.	Wytyczne projektowania ulic – GDDP, Warszawa 1992 Wytyczne projektowania skrzyżowań drogowych – GDDP, Warszawa, 2001.
7.	Rozporządzenie Ministra Transportu i Gospodarki Morskiej z dnia 2 marca 1999 r. w sprawie warunków technicznych, jakim powinny odpowiadać drogi publiczne i ich usytuowanie. (Dz. U. 43 poz. 430 z 1999 r.).
8.	Rozporządzenie Ministra Infrastruktury z dnia 3 lipca 2003 r. w sprawie szczegółowych warunków technicznych dla znaków i sygnałów drogowych oraz urządzeń bezpieczeństwa ruchu drogowego i warunków ich umieszczania na drogach (Dz. U. 220 poz. 2181 z 2003 r.) – z późn. zm.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podstawowa wiedzę w zakresie planowania przestrzennego przydatną do opisu procesów kształtowania sieci drogowej dla różnych form użytkowania terenów.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cechy i wskaźniki charakteryzujące gęstość i topologie sieci drogowej.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proces programowania, planowania i projektowania modernizacji i rozwoju dróg.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zasady i kryteria geometrycznego projektowania dróg i ulic, zna zasady organizacji ruchu, stosowania oznakowania poziomego, pionowego i lokalizacji sygnalizatorów.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pisemna,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ma podstawową wiedzę niezbędną do rozumienia wpływu czynników drogowych, ruchowych, urbanistycznych i społecznych wpływających na organizację ruchu w obszarach zurbanizowanych.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T1A_W08, InzA_W02, InzA_W03,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biegłość merytoryczną i sprawność rachunkową w określaniu trasy drogi w planie i profilu.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InzA_U03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stosować odpowiednie metody do oceny sieci drogowej.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T1A_U15, InzA_U07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uczenia się przez całe życie, przede wszystkim w celu podnoszenia swoich kompetencji zawodowych i osobistych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potrafi myśleć i działać w sposób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InzA_K01</w:t>
      </w:r>
    </w:p>
    <w:p>
      <w:pPr>
        <w:keepNext w:val="1"/>
        <w:spacing w:after="10"/>
      </w:pPr>
      <w:r>
        <w:rPr>
          <w:b/>
          <w:bCs/>
        </w:rPr>
        <w:t xml:space="preserve">Efekt K03: </w:t>
      </w:r>
    </w:p>
    <w:p>
      <w:pPr/>
      <w:r>
        <w:rPr/>
        <w:t xml:space="preserve">potrafi określić priorytet oraz identyfikować i rozstrzygać dylematy związane z realizacją określonego przez siebie lub innych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2024-05-03T16:46:41+02:00</dcterms:created>
  <dcterms:modified xsi:type="dcterms:W3CDTF">2024-05-03T16:46:41+02:00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