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zajęcia z prowadzącym; 
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
2. Zając A. Prawo cywilne. Spadki. Kazusy Warszawa 2011 
3. Biernat J., Cybula P. Prawo spadkowe. Pytania. Kazusy. Tablice Warszawa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keepNext w:val="1"/>
        <w:spacing w:after="10"/>
      </w:pPr>
      <w:r>
        <w:rPr>
          <w:b/>
          <w:bCs/>
        </w:rPr>
        <w:t xml:space="preserve">Efekt K_007: </w:t>
      </w:r>
    </w:p>
    <w:p>
      <w:pPr/>
      <w:r>
        <w:rPr/>
        <w:t xml:space="preserve">ma rozszerzoną wiedzę z zakresu prawa prywatnego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umie interpretować przepisy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posługiwać się językiem prawnym i prawniczym z zastosowaniem terminologii z właściwych dziedzin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umie sporządzać podstawowe pisma procesowe i inne dokumenty stosowane w obrocie prawnym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jest przygotowany do dalszego kształcenia, również samodzielnego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 : </w:t>
      </w:r>
    </w:p>
    <w:p>
      <w:pPr/>
      <w:r>
        <w:rPr/>
        <w:t xml:space="preserve">ma świadomość znaczenia norm etycznych i społecznych w sferze publicznej i zawodowej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2026-04-18T10:11:16+02:00</dcterms:created>
  <dcterms:modified xsi:type="dcterms:W3CDTF">2026-04-18T10:11:16+02:00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