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w ekonomii [English for Economics]</w:t>
      </w:r>
    </w:p>
    <w:p>
      <w:pPr>
        <w:keepNext w:val="1"/>
        <w:spacing w:after="10"/>
      </w:pPr>
      <w:r>
        <w:rPr>
          <w:b/>
          <w:bCs/>
        </w:rPr>
        <w:t xml:space="preserve">Koordynator przedmiotu: </w:t>
      </w:r>
    </w:p>
    <w:p>
      <w:pPr>
        <w:spacing w:before="20" w:after="190"/>
      </w:pPr>
      <w:r>
        <w:rPr/>
        <w:t xml:space="preserve">mgr Roman Gąsecki / mgr Ewa Gizińska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PP 1.1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 30 ćwiczeń, 15 przygotowanie do zajęć, 5 przygotowanie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angielskiego na poziomie B2</w:t>
      </w:r>
    </w:p>
    <w:p>
      <w:pPr>
        <w:keepNext w:val="1"/>
        <w:spacing w:after="10"/>
      </w:pPr>
      <w:r>
        <w:rPr>
          <w:b/>
          <w:bCs/>
        </w:rPr>
        <w:t xml:space="preserve">Limit liczby studentów: </w:t>
      </w:r>
    </w:p>
    <w:p>
      <w:pPr>
        <w:spacing w:before="20" w:after="190"/>
      </w:pPr>
      <w:r>
        <w:rPr/>
        <w:t xml:space="preserve">24 </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angielskim, prezentowanie wyników swoich badań w formie ustnej i pisemnej, jak również sprawne komunikowanie się w języku angielskim na tematy ogólne. W semestrze I celem przedmiotu jest poznawanie słownictwa i frazeologii języka specjalistycznego, w oparciu o analizę artykułów z literatury fachowej, czasopism i z Internetu. Ponadto, utrwala się umiejętności języka ogólnego, ze zwróceniem uwagi na gramatykę i składnię tekstu. </w:t>
      </w:r>
    </w:p>
    <w:p>
      <w:pPr>
        <w:keepNext w:val="1"/>
        <w:spacing w:after="10"/>
      </w:pPr>
      <w:r>
        <w:rPr>
          <w:b/>
          <w:bCs/>
        </w:rPr>
        <w:t xml:space="preserve">Treści kształcenia: </w:t>
      </w:r>
    </w:p>
    <w:p>
      <w:pPr>
        <w:spacing w:before="20" w:after="190"/>
      </w:pPr>
      <w:r>
        <w:rPr/>
        <w:t xml:space="preserve">1. Topics and vocabulary:
2. International Business Styles / Globalization 
3. Recruitment and Employment / Human Resources
4. Company Presentation / Product Description
5. Company Results / Describing Trends / Planning Ahead
6. Ethics at Work / Honesty; 
Writing:
1..Student Profile / CV Writing / Presentation
2..Reports; 
Language structure:
1. Passives
2. Modals
3. Relatives.
</w:t>
      </w:r>
    </w:p>
    <w:p>
      <w:pPr>
        <w:keepNext w:val="1"/>
        <w:spacing w:after="10"/>
      </w:pPr>
      <w:r>
        <w:rPr>
          <w:b/>
          <w:bCs/>
        </w:rPr>
        <w:t xml:space="preserve">Metody oceny: </w:t>
      </w:r>
    </w:p>
    <w:p>
      <w:pPr>
        <w:spacing w:before="20" w:after="190"/>
      </w:pPr>
      <w:r>
        <w:rPr/>
        <w:t xml:space="preserve">1. Formalnym warunkiem zaliczenia zajęć w danym semestrze jest systematyczne uczęszczanie na zajęcia językowe; dopuszcza się nieobecność bez usprawiedliwienia na dwóch spotkaniach w semestrze. Kontroli obecności oraz usprawiedliwienia nieobecności dokonuje  prowadzący zajęcia.
2. Stopień opanowania materiału oceniany jest na podstawie: aktywnego uczestniczenia w zajęciach (praca z podręcznikiem, wykonywania zadań  indywidualnych, w parach i grupach); pisemnych prac kontrolnych (co najmniej jednej w semestrze); prac domowych. Student jest zobowiązany wykazać się pracą własną, aby uzyskać odpowiednią dla modułu liczbę punktów ECTS, co odpowiada określonej liczbie godzin przeznaczonych na naukę poza zajęciami). 
3. Zaliczenie zajęć podlega ocenie; wpis oceny uzyskuje się na ostatnim zajęciu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Tullis G. and T. Trappe, New Insights into Business, Longman 2013; 
Cotton, D., Falvey, D. and S. Kent, Market Leader, Pearson Longman 2010; Brieger, N. and S. Sweeney, Language of Business English, Prentice Hall  2004; Brook-Hart, G., Business Benchmark, Cambridge University Press 2012.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S2P_U09</w:t>
      </w:r>
    </w:p>
    <w:p>
      <w:pPr>
        <w:keepNext w:val="1"/>
        <w:spacing w:after="10"/>
      </w:pPr>
      <w:r>
        <w:rPr>
          <w:b/>
          <w:bCs/>
        </w:rPr>
        <w:t xml:space="preserve">Efekt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keepNext w:val="1"/>
        <w:spacing w:after="10"/>
      </w:pPr>
      <w:r>
        <w:rPr>
          <w:b/>
          <w:bCs/>
        </w:rPr>
        <w:t xml:space="preserve">Efekt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S2P_U11</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Ma wyobrażenie o środowisku typowym dla obszaru języka angielskiego. Zna przykłady z historii, geografii, kultury i techniki Wielkiej Brytanii i USA. Rozumie teksty i wypowiedzi, dotyczące spraw życia codziennego i biznesowego.</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2024-05-05T05:05:03+02:00</dcterms:created>
  <dcterms:modified xsi:type="dcterms:W3CDTF">2024-05-05T05:05:03+02:00</dcterms:modified>
</cp:coreProperties>
</file>

<file path=docProps/custom.xml><?xml version="1.0" encoding="utf-8"?>
<Properties xmlns="http://schemas.openxmlformats.org/officeDocument/2006/custom-properties" xmlns:vt="http://schemas.openxmlformats.org/officeDocument/2006/docPropsVTypes"/>
</file>