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20
czytanie wskazanej literatury: 20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W_KWK03: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W_KWK04: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U_KWK02: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U_KWK03: </w:t>
      </w:r>
    </w:p>
    <w:p>
      <w:pPr/>
      <w:r>
        <w:rPr/>
        <w:t xml:space="preserve">Rozumie konieczność krytycznej analizy informacji pochodzących z Internetu i ciągłej ich konfrontacji ze źródłami tradycyjnymi.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K_KWK02: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K_KWK03: </w:t>
      </w:r>
    </w:p>
    <w:p>
      <w:pPr/>
      <w:r>
        <w:rPr/>
        <w:t xml:space="preserve">Potrafi przygotować w wybranej formie pisemnej (esej, prezentacja multimedialna, referat), i publicznie zaprezentować wyniki swoich refleksji.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2026-07-29T19:08:12+02:00</dcterms:created>
  <dcterms:modified xsi:type="dcterms:W3CDTF">2026-07-29T19:08:12+02:00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