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II</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Pozytywne zaliczenie przedmiotu PNOM-1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w:t>
      </w:r>
    </w:p>
    <w:p>
      <w:pPr>
        <w:keepNext w:val="1"/>
        <w:spacing w:after="10"/>
      </w:pPr>
      <w:r>
        <w:rPr>
          <w:b/>
          <w:bCs/>
        </w:rPr>
        <w:t xml:space="preserve">Treści kształcenia: </w:t>
      </w:r>
    </w:p>
    <w:p>
      <w:pPr>
        <w:spacing w:before="20" w:after="190"/>
      </w:pPr>
      <w:r>
        <w:rPr/>
        <w:t xml:space="preserve">Metody ujawniania mikro i makrostruktury - Badania makroskopowe – metody i zastosowanie. Zasada działania mikroskopu metalograficznego. Metody badań metalograficznych.
Układy równowagi faz - Budowa wykresów równowagi faz. Wykresy równowagi układów dwuskładnikowych, trójskładnikowych i czteroskładnikowych. 
Układ Fe – Fe3C i struktury równowagowe w tym układzie - Punkty i temperatury charakterystyczne wykresu równowagi.
Fazy i składniki strukturalne. Przemiany fazowe przy chłodzeniu stali.
Przemiany fazowe przy chłodzeniu żeliw białych.
Krystalizacja z fazy ciekłej i stałej - Zarodkowanie. Mechanizm wzrostu.
Rozmieszczenie składników w rzeczywistych warunkach krystalizacji. Morfologia frontu krystalizacji i tworzących się struktur. Polikryształy,  monokryształy. Metody monokrystalizacji.
Dyfuzja (wprowadzenie) - Dyfuzja jako proces zmniejszania stanu energii swobodnej układu. I i II prawo Ficka. Rodzaje dyfuzji.
Wstęp do krystalografii - Klasyfikacja ciał stałych pod względem ich budowy – struktury. Podstawy opisu budowy ciał krystalicznych. Symetrie. Struktury atomowe.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redakcją F. Stauba, Śląskie Wydawnictwo Techniczne, 1994.
5.	„Metaloznawstwo z podstawami nauki o materiałach, L. A. Dobrzański, WNT 1996.
6.	„Materiały inżynierskie” tom 2, M.F. Ashby, D.R.H. Jones, WNT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elementarną wiedzę w zakresie spektrum dyscyplin inży¬nierskich powiązanych z inżynierią materiałową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identyfikacji  i  sformułować  specyfikację prostych  zadań   inżynierskich,   typowych   dla  inżynierii materiałowej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K_U18 </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2024-04-29T18:14:00+02:00</dcterms:created>
  <dcterms:modified xsi:type="dcterms:W3CDTF">2024-04-29T18:14:00+02:00</dcterms:modified>
</cp:coreProperties>
</file>

<file path=docProps/custom.xml><?xml version="1.0" encoding="utf-8"?>
<Properties xmlns="http://schemas.openxmlformats.org/officeDocument/2006/custom-properties" xmlns:vt="http://schemas.openxmlformats.org/officeDocument/2006/docPropsVTypes"/>
</file>