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biznesem technologicznym</w:t>
      </w:r>
    </w:p>
    <w:p>
      <w:pPr>
        <w:keepNext w:val="1"/>
        <w:spacing w:after="10"/>
      </w:pPr>
      <w:r>
        <w:rPr>
          <w:b/>
          <w:bCs/>
        </w:rPr>
        <w:t xml:space="preserve">Koordynator przedmiotu: </w:t>
      </w:r>
    </w:p>
    <w:p>
      <w:pPr>
        <w:spacing w:before="20" w:after="190"/>
      </w:pPr>
      <w:r>
        <w:rPr/>
        <w:t xml:space="preserve">dr hab. Marek Marcinek, dr Aleksandra Cwil – Kaczmarek, Aleksandra Nocoń (BASF Polska)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 30h 
2.	zapoznanie się ze wskazaną literaturą – 20h
3.	przygotowanie streszczenia i wygłoszenie referatu seminaryjnego – 10h
Razem nakład pracy studenta: 30h + 20h + 10h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jedynie związany z przygotowaniem i wygłoszeniem referatu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na temat współczesnych metod zarządzania w korporacji oraz własnym biznesie
•	na podstawie dostępnych źródeł literaturowych i internetowych zapoznać się samodzielnie z wybranym zagadnieniem zaproponowanym przez prowadzącego,
•	przygotować i wygłosić prezentację dla uczestników kursu, której uzupełnieniem będzie krótkie streszczenie oraz dyskusja z udziałem słuchaczy i prowadzącego.
</w:t>
      </w:r>
    </w:p>
    <w:p>
      <w:pPr>
        <w:keepNext w:val="1"/>
        <w:spacing w:after="10"/>
      </w:pPr>
      <w:r>
        <w:rPr>
          <w:b/>
          <w:bCs/>
        </w:rPr>
        <w:t xml:space="preserve">Treści kształcenia: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Treści merytoryczne:
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specyfikę oraz techniki zarządzania biznesem technologicznym </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opracowywanego tematu</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T2A_U01, T2A_U05, T2A_U10, T2A_U02, T2A_U03, T2A_U06</w:t>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2026-02-08T10:07:07+01:00</dcterms:created>
  <dcterms:modified xsi:type="dcterms:W3CDTF">2026-02-08T10:07:07+01:00</dcterms:modified>
</cp:coreProperties>
</file>

<file path=docProps/custom.xml><?xml version="1.0" encoding="utf-8"?>
<Properties xmlns="http://schemas.openxmlformats.org/officeDocument/2006/custom-properties" xmlns:vt="http://schemas.openxmlformats.org/officeDocument/2006/docPropsVTypes"/>
</file>