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Laboratory of Applied Biotechnology   </w:t>
      </w:r>
    </w:p>
    <w:p>
      <w:pPr>
        <w:keepNext w:val="1"/>
        <w:spacing w:after="10"/>
      </w:pPr>
      <w:r>
        <w:rPr>
          <w:b/>
          <w:bCs/>
        </w:rPr>
        <w:t xml:space="preserve">Koordynator przedmiotu: </w:t>
      </w:r>
    </w:p>
    <w:p>
      <w:pPr>
        <w:spacing w:before="20" w:after="190"/>
      </w:pPr>
      <w:r>
        <w:rPr/>
        <w:t xml:space="preserve">dr hab. inż. Michał Chudy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godziny kontaktowe 45h, w tym:
a)	obecność na laboratorium – 45h 
2.	zapoznanie się z literaturą niezbędną do opracowania zagadnienia projektowego – 15h
3.	przygotowanie projektu i wygłoszenie referatu - 20
Razem nakład pracy studenta: 45h + 15h +20h= 85h, co odpowiada 4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godziny kontaktowe 45h, w tym:
a)	obecność na laboratorium – 45h 
b)	wygłoszenie referatów – 5h
 co odpowiada 3 punktom ECTS.
</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Planowane zajęcia obejmują pomiary, prowadzenie procesów związane z wykorzystaniem wybranych technik laboratoryjnych (3 punkty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60h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Subjects  of  laboratory  modules (e.g. microbial cultures, biosensors, biocompatible materials, bioprocesses)  are  flexible  and  they  will  be collected  by  the  head  of  the  laboratory  and  presented  to  the students  at  the  beginning  of  the  classes.  Students  will  work individually  or  in  groups  on  given  biotechnological  subjects  in laboratory. The subject of the course will be focused on  processes, their control and optimization and application of modern laboratory facilities  (bioreactors,  microscopes,  clean  technologies)  for  better understanding and solving of given biotechnological problem.</w:t>
      </w:r>
    </w:p>
    <w:p>
      <w:pPr>
        <w:keepNext w:val="1"/>
        <w:spacing w:after="10"/>
      </w:pPr>
      <w:r>
        <w:rPr>
          <w:b/>
          <w:bCs/>
        </w:rPr>
        <w:t xml:space="preserve">Treści kształcenia: </w:t>
      </w:r>
    </w:p>
    <w:p>
      <w:pPr>
        <w:spacing w:before="20" w:after="190"/>
      </w:pPr>
      <w:r>
        <w:rPr/>
        <w:t xml:space="preserve">Subjects  of  laboratory  modules (e.g. microbial cultures, biosensors, biocompatible materials, bioprocesses)  are  flexible  and  they  will  be collected  by  the  head  of  the  laboratory  and  presented  to  the students  at  the  beginning  of  the  classes.  Students  will  work individually  or  in  groups  on  given  biotechnological  subjects  in laboratory. The subject of the course will be focused on  processes, their control and optimization and application of modern laboratory facilities  (bioreactors,  microscopes,  clean  technologies)  for  better understanding and solving of given biotechnological problem.</w:t>
      </w:r>
    </w:p>
    <w:p>
      <w:pPr>
        <w:keepNext w:val="1"/>
        <w:spacing w:after="10"/>
      </w:pPr>
      <w:r>
        <w:rPr>
          <w:b/>
          <w:bCs/>
        </w:rPr>
        <w:t xml:space="preserve">Metody oceny: </w:t>
      </w:r>
    </w:p>
    <w:p>
      <w:pPr>
        <w:spacing w:before="20" w:after="190"/>
      </w:pPr>
      <w:r>
        <w:rPr/>
        <w:t xml:space="preserve">average  of  partial  marks  obtained  by  the  students  for each laboratory module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brak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nowoczesne sposoby prowadzenia procesów biotechnologicznych i ich kontroli z wykorzystaniem odpowiedniej aparatury kontrolno-pomiarowej</w:t>
      </w:r>
    </w:p>
    <w:p>
      <w:pPr>
        <w:spacing w:before="60"/>
      </w:pPr>
      <w:r>
        <w:rPr/>
        <w:t xml:space="preserve">Weryfikacja: </w:t>
      </w:r>
    </w:p>
    <w:p>
      <w:pPr>
        <w:spacing w:before="20" w:after="190"/>
      </w:pPr>
      <w:r>
        <w:rPr/>
        <w:t xml:space="preserve">zaliczenie – na podstawie pracy laboratoryjnej </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T2A_W01, T2A_W03, T2A_W05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w zależności od realizowanego modułu potrafi po konsultacjach z opiekunem tematu/modułu zaproponować w jez. angielskim tok prowadzenia procesu/pomiarów oraz przeprowadzić eksperymenty pozwalające na rozwiązanie postawionego problemu</w:t>
      </w:r>
    </w:p>
    <w:p>
      <w:pPr>
        <w:spacing w:before="60"/>
      </w:pPr>
      <w:r>
        <w:rPr/>
        <w:t xml:space="preserve">Weryfikacja: </w:t>
      </w:r>
    </w:p>
    <w:p>
      <w:pPr>
        <w:spacing w:before="20" w:after="190"/>
      </w:pPr>
      <w:r>
        <w:rPr/>
        <w:t xml:space="preserve">zaliczenie – na podstawie pracy laboratoryjnej</w:t>
      </w:r>
    </w:p>
    <w:p>
      <w:pPr>
        <w:spacing w:before="20" w:after="190"/>
      </w:pPr>
      <w:r>
        <w:rPr>
          <w:b/>
          <w:bCs/>
        </w:rPr>
        <w:t xml:space="preserve">Powiązane efekty kierunkowe: </w:t>
      </w:r>
      <w:r>
        <w:rPr/>
        <w:t xml:space="preserve">K_U01, K_U02, K_U03 , K_U04, K_U08, K_U13</w:t>
      </w:r>
    </w:p>
    <w:p>
      <w:pPr>
        <w:spacing w:before="20" w:after="190"/>
      </w:pPr>
      <w:r>
        <w:rPr>
          <w:b/>
          <w:bCs/>
        </w:rPr>
        <w:t xml:space="preserve">Powiązane efekty obszarowe: </w:t>
      </w:r>
      <w:r>
        <w:rPr/>
        <w:t xml:space="preserve">T2A_U01, T2A_U05, T2A_U10, T2A_U02, T2A_U03, T2A_U06, T2A_U01, T2A_U03, T2A_U06, T2A_U02, T2A_U03, T2A_U06, T2A_U05, T2A_U08, T2A_U09, T2A_U11</w:t>
      </w:r>
    </w:p>
    <w:p>
      <w:pPr>
        <w:keepNext w:val="1"/>
        <w:spacing w:after="10"/>
      </w:pPr>
      <w:r>
        <w:rPr>
          <w:b/>
          <w:bCs/>
        </w:rPr>
        <w:t xml:space="preserve">Efekt U02: </w:t>
      </w:r>
    </w:p>
    <w:p>
      <w:pPr/>
      <w:r>
        <w:rPr/>
        <w:t xml:space="preserve">posiada umiejętność korzystania z anglojęzycznych źródeł literaturowych oraz zasobów internetowych w celu pogłębienia wiedzy dotyczącej realizowanej tematyki </w:t>
      </w:r>
    </w:p>
    <w:p>
      <w:pPr>
        <w:spacing w:before="60"/>
      </w:pPr>
      <w:r>
        <w:rPr/>
        <w:t xml:space="preserve">Weryfikacja: </w:t>
      </w:r>
    </w:p>
    <w:p>
      <w:pPr>
        <w:spacing w:before="20" w:after="190"/>
      </w:pPr>
      <w:r>
        <w:rPr/>
        <w:t xml:space="preserve">zaliczenie – na podstawie przygotowanego raportu z prowadzonych badań</w:t>
      </w:r>
    </w:p>
    <w:p>
      <w:pPr>
        <w:spacing w:before="20" w:after="190"/>
      </w:pPr>
      <w:r>
        <w:rPr>
          <w:b/>
          <w:bCs/>
        </w:rPr>
        <w:t xml:space="preserve">Powiązane efekty kierunkowe: </w:t>
      </w:r>
      <w:r>
        <w:rPr/>
        <w:t xml:space="preserve">K_U01, K_U02, K_U03 , K_U04</w:t>
      </w:r>
    </w:p>
    <w:p>
      <w:pPr>
        <w:spacing w:before="20" w:after="190"/>
      </w:pPr>
      <w:r>
        <w:rPr>
          <w:b/>
          <w:bCs/>
        </w:rPr>
        <w:t xml:space="preserve">Powiązane efekty obszarowe: </w:t>
      </w:r>
      <w:r>
        <w:rPr/>
        <w:t xml:space="preserve">T2A_U01, T2A_U05, T2A_U10, T2A_U02, T2A_U03, T2A_U06, T2A_U01, T2A_U03, T2A_U06, T2A_U02, T2A_U03, T2A_U06</w:t>
      </w:r>
    </w:p>
    <w:p>
      <w:pPr>
        <w:keepNext w:val="1"/>
        <w:spacing w:after="10"/>
      </w:pPr>
      <w:r>
        <w:rPr>
          <w:b/>
          <w:bCs/>
        </w:rPr>
        <w:t xml:space="preserve">Efekt U03: </w:t>
      </w:r>
    </w:p>
    <w:p>
      <w:pPr/>
      <w:r>
        <w:rPr/>
        <w:t xml:space="preserve">potrafi zapoznać się samodzielnie z wybranymi zagadnieniami związanymi z zagadnieniem wskazanym przez prowadzącego/opiekuna oraz krytycznie interpretować uzyskane wyniki eksperymentalne w przygotowanym w języku angielskim raporcie z badań</w:t>
      </w:r>
    </w:p>
    <w:p>
      <w:pPr>
        <w:spacing w:before="60"/>
      </w:pPr>
      <w:r>
        <w:rPr/>
        <w:t xml:space="preserve">Weryfikacja: </w:t>
      </w:r>
    </w:p>
    <w:p>
      <w:pPr>
        <w:spacing w:before="20" w:after="190"/>
      </w:pPr>
      <w:r>
        <w:rPr/>
        <w:t xml:space="preserve">zaliczenie – na podstawie przygotowanego raportu z prowadzonych badań</w:t>
      </w:r>
    </w:p>
    <w:p>
      <w:pPr>
        <w:spacing w:before="20" w:after="190"/>
      </w:pPr>
      <w:r>
        <w:rPr>
          <w:b/>
          <w:bCs/>
        </w:rPr>
        <w:t xml:space="preserve">Powiązane efekty kierunkowe: </w:t>
      </w:r>
      <w:r>
        <w:rPr/>
        <w:t xml:space="preserve">K_U01, K_U02, K_U03 , K_U04, K_U09, K_U12</w:t>
      </w:r>
    </w:p>
    <w:p>
      <w:pPr>
        <w:spacing w:before="20" w:after="190"/>
      </w:pPr>
      <w:r>
        <w:rPr>
          <w:b/>
          <w:bCs/>
        </w:rPr>
        <w:t xml:space="preserve">Powiązane efekty obszarowe: </w:t>
      </w:r>
      <w:r>
        <w:rPr/>
        <w:t xml:space="preserve">T2A_U01, T2A_U05, T2A_U10, T2A_U02, T2A_U03, T2A_U06, T2A_U01, T2A_U03, T2A_U06, T2A_U02, T2A_U03, T2A_U06, T2A_U05, T2A_U08, T2A_U09, T2A_U10, T2A_U10, T2A_U11</w:t>
      </w:r>
    </w:p>
    <w:p>
      <w:pPr>
        <w:keepNext w:val="1"/>
        <w:spacing w:after="10"/>
      </w:pPr>
      <w:r>
        <w:rPr>
          <w:b/>
          <w:bCs/>
        </w:rPr>
        <w:t xml:space="preserve">Efekt U04: </w:t>
      </w:r>
    </w:p>
    <w:p>
      <w:pPr/>
      <w:r>
        <w:rPr/>
        <w:t xml:space="preserve">w pracy eksperymentalnej potrafi stosownie do potrzeb wykorzystać nowoczesną aparaturę laboratoryjną (bioreaktory, inkubatory, mikroskopy etc.) </w:t>
      </w:r>
    </w:p>
    <w:p>
      <w:pPr>
        <w:spacing w:before="60"/>
      </w:pPr>
      <w:r>
        <w:rPr/>
        <w:t xml:space="preserve">Weryfikacja: </w:t>
      </w:r>
    </w:p>
    <w:p>
      <w:pPr>
        <w:spacing w:before="20" w:after="190"/>
      </w:pPr>
      <w:r>
        <w:rPr/>
        <w:t xml:space="preserve">zaliczenie – na podstawie pracy laboratoryjnej</w:t>
      </w:r>
    </w:p>
    <w:p>
      <w:pPr>
        <w:spacing w:before="20" w:after="190"/>
      </w:pPr>
      <w:r>
        <w:rPr>
          <w:b/>
          <w:bCs/>
        </w:rPr>
        <w:t xml:space="preserve">Powiązane efekty kierunkowe: </w:t>
      </w:r>
      <w:r>
        <w:rPr/>
        <w:t xml:space="preserve">K_U01, K_U02, K_U03 , K_U04, K_U18, K_U19</w:t>
      </w:r>
    </w:p>
    <w:p>
      <w:pPr>
        <w:spacing w:before="20" w:after="190"/>
      </w:pPr>
      <w:r>
        <w:rPr>
          <w:b/>
          <w:bCs/>
        </w:rPr>
        <w:t xml:space="preserve">Powiązane efekty obszarowe: </w:t>
      </w:r>
      <w:r>
        <w:rPr/>
        <w:t xml:space="preserve">T2A_U01, T2A_U05, T2A_U10, T2A_U02, T2A_U03, T2A_U06, T2A_U01, T2A_U03, T2A_U06, T2A_U02, T2A_U03, T2A_U06, T2A_U14, T2A_U16, T2A_U18, T2A_U19</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pracować samodzielnie i w sposób kreatywny rozwiązywać problemy z zakresu prowadzenia i kontroli opracowywanego procesu biotechnologicznego</w:t>
      </w:r>
    </w:p>
    <w:p>
      <w:pPr>
        <w:spacing w:before="60"/>
      </w:pPr>
      <w:r>
        <w:rPr/>
        <w:t xml:space="preserve">Weryfikacja: </w:t>
      </w:r>
    </w:p>
    <w:p>
      <w:pPr>
        <w:spacing w:before="20" w:after="190"/>
      </w:pPr>
      <w:r>
        <w:rPr/>
        <w:t xml:space="preserve">zaliczenie – na podstawie pracy laboratoryjnej</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2026-05-10T01:16:18+02:00</dcterms:created>
  <dcterms:modified xsi:type="dcterms:W3CDTF">2026-05-10T01:16:18+02:00</dcterms:modified>
</cp:coreProperties>
</file>

<file path=docProps/custom.xml><?xml version="1.0" encoding="utf-8"?>
<Properties xmlns="http://schemas.openxmlformats.org/officeDocument/2006/custom-properties" xmlns:vt="http://schemas.openxmlformats.org/officeDocument/2006/docPropsVTypes"/>
</file>