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PW; dr hab inż. Waldemar Kaszuwara,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MATMAGN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Schwartz, Encyclopedia of Smart Materials, wyd. Wiley and Sons Inc., Nowy Jork 2002.
3. A. Boczkowska, Rola mikrostruktury w kształtowaniu właściwości inteligentnych kompozytów magnetoreologicznych, Oficyna Wydawnicza PW,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MAT_INT: </w:t>
      </w:r>
    </w:p>
    <w:p>
      <w:pPr/>
      <w:r>
        <w:rPr/>
        <w:t xml:space="preserve">Posiada umiejętności kojarzenia zdobytej wcześniej wiedzy i zdolności do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MAT_INT: </w:t>
      </w:r>
    </w:p>
    <w:p>
      <w:pPr/>
      <w:r>
        <w:rPr/>
        <w:t xml:space="preserve">Potrafi współdziałać w grupie, nawiązuje kontakty, wymienia poglądy nt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2024-05-03T18:40:56+02:00</dcterms:created>
  <dcterms:modified xsi:type="dcterms:W3CDTF">2024-05-03T18:40:56+02:00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