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25 godzin wykładów i 15 godzin ćwiczeń oraz 85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K_3: </w:t>
      </w:r>
    </w:p>
    <w:p>
      <w:pPr/>
      <w:r>
        <w:rPr/>
        <w:t xml:space="preserve">Ma świadomość znaczenia regulacji prawa cywilnego w rozstrzyganiu spraw dnia powszedniego.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K_4: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2026-09-07T18:06:50+02:00</dcterms:created>
  <dcterms:modified xsi:type="dcterms:W3CDTF">2026-09-07T18:06:50+02:00</dcterms:modified>
</cp:coreProperties>
</file>

<file path=docProps/custom.xml><?xml version="1.0" encoding="utf-8"?>
<Properties xmlns="http://schemas.openxmlformats.org/officeDocument/2006/custom-properties" xmlns:vt="http://schemas.openxmlformats.org/officeDocument/2006/docPropsVTypes"/>
</file>