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5
czytanie wskazanej literatury 5
Sumaryczne obciążenie pracą studenta	30</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S1A_W03, S1A_W07, S1A_W09, S1A_W11, S1A_W11</w:t>
      </w:r>
    </w:p>
    <w:p>
      <w:pPr>
        <w:keepNext w:val="1"/>
        <w:spacing w:after="10"/>
      </w:pPr>
      <w:r>
        <w:rPr>
          <w:b/>
          <w:bCs/>
        </w:rPr>
        <w:t xml:space="preserve">Efekt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S1A_W05, S1A_W06,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U_03: </w:t>
      </w:r>
    </w:p>
    <w:p>
      <w:pPr/>
      <w:r>
        <w:rPr/>
        <w:t xml:space="preserve">Umie wskazać ośrodki powstawania kosztów oraz stosować zasadę wpólmierności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2026-07-02T06:59:45+02:00</dcterms:created>
  <dcterms:modified xsi:type="dcterms:W3CDTF">2026-07-02T06:59:45+02:00</dcterms:modified>
</cp:coreProperties>
</file>

<file path=docProps/custom.xml><?xml version="1.0" encoding="utf-8"?>
<Properties xmlns="http://schemas.openxmlformats.org/officeDocument/2006/custom-properties" xmlns:vt="http://schemas.openxmlformats.org/officeDocument/2006/docPropsVTypes"/>
</file>