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 ochrony prawnej w Unii Europejskiej</w:t>
      </w:r>
    </w:p>
    <w:p>
      <w:pPr>
        <w:keepNext w:val="1"/>
        <w:spacing w:after="10"/>
      </w:pPr>
      <w:r>
        <w:rPr>
          <w:b/>
          <w:bCs/>
        </w:rPr>
        <w:t xml:space="preserve">Koordynator przedmiotu: </w:t>
      </w:r>
    </w:p>
    <w:p>
      <w:pPr>
        <w:spacing w:before="20" w:after="190"/>
      </w:pPr>
      <w:r>
        <w:rPr/>
        <w:t xml:space="preserve">wykłady: dr Jacek Połowianiuk, dr Robert Zajdler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A21_SOPUE</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wykładach	30		
Praca własna: 
przygotowanie do zajęć	15	
czytanie wskazanej literatury 	55	
Sumaryczne obciążenie pracą studenta	 100
</w:t>
      </w:r>
    </w:p>
    <w:p>
      <w:pPr>
        <w:keepNext w:val="1"/>
        <w:spacing w:after="10"/>
      </w:pPr>
      <w:r>
        <w:rPr>
          <w:b/>
          <w:bCs/>
        </w:rPr>
        <w:t xml:space="preserve">Liczba punktów ECTS na zajęciach wymagających bezpośredniego udziału nauczycieli akademickich: </w:t>
      </w:r>
    </w:p>
    <w:p>
      <w:pPr>
        <w:spacing w:before="20" w:after="190"/>
      </w:pPr>
      <w:r>
        <w:rPr/>
        <w:t xml:space="preserve">1,5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pogłębia wiedzę i rozszerza umiejętności zdobyte przez studenta na poziomie studiów I stopnia (licencjackich), przydatne do pracy m.in. na stanowiskach urzędniczych w Polsce i UE, a w szerszym ujęciu - służące większej świadomości obywatelskiej,  która stwarza warunki i pozwala na lepszą ochronę praw jednostki.
Zalecane jest w odniesieniu do wymagań wstępnych  posiadanie wiedzy i umiejętności, które mieszczą się w zakresie takich przedmiotów jak:  Prawo konstytucyjne, Instytucje i źródła prawa  Unii Europejskiej.
</w:t>
      </w:r>
    </w:p>
    <w:p>
      <w:pPr>
        <w:keepNext w:val="1"/>
        <w:spacing w:after="10"/>
      </w:pPr>
      <w:r>
        <w:rPr>
          <w:b/>
          <w:bCs/>
        </w:rPr>
        <w:t xml:space="preserve">Limit liczby studentów: </w:t>
      </w:r>
    </w:p>
    <w:p>
      <w:pPr>
        <w:spacing w:before="20" w:after="190"/>
      </w:pPr>
      <w:r>
        <w:rPr/>
        <w:t xml:space="preserve">300</w:t>
      </w:r>
    </w:p>
    <w:p>
      <w:pPr>
        <w:keepNext w:val="1"/>
        <w:spacing w:after="10"/>
      </w:pPr>
      <w:r>
        <w:rPr>
          <w:b/>
          <w:bCs/>
        </w:rPr>
        <w:t xml:space="preserve">Cel przedmiotu: </w:t>
      </w:r>
    </w:p>
    <w:p>
      <w:pPr>
        <w:spacing w:before="20" w:after="190"/>
      </w:pPr>
      <w:r>
        <w:rPr/>
        <w:t xml:space="preserve">Cel: 
Najważniejszym założeniem przedmiotu jest poznanie przez studentów unijnego systemu ochrony prawnej. Do szczegółowych celów przedmiotu należy:
 - zapoznanie  z instytucjami i  procedurami tworzącymi system ochrony prawnej UE;
 - rozumienie relacji: sąd krajowy - sąd unijny, zwłaszcza w kontekście procedury orzeczenia wstępnego (prejudycjalnego); 
 - rozumienie zakresu ochrony podmiotów indywidualnych w unijnym systemie ochrony prawnej.
</w:t>
      </w:r>
    </w:p>
    <w:p>
      <w:pPr>
        <w:keepNext w:val="1"/>
        <w:spacing w:after="10"/>
      </w:pPr>
      <w:r>
        <w:rPr>
          <w:b/>
          <w:bCs/>
        </w:rPr>
        <w:t xml:space="preserve">Treści kształcenia: </w:t>
      </w:r>
    </w:p>
    <w:p>
      <w:pPr>
        <w:spacing w:before="20" w:after="190"/>
      </w:pPr>
      <w:r>
        <w:rPr/>
        <w:t xml:space="preserve">1.	Wprowadzenie na temat integracji europejskiej. 
2.	System instytucjonalny i system źródeł prawa UE.  
3.	Zagadnienia ogólne: system ochrony prawnej,  system ochrony prawnej w Unii Europejskiej –  system kontroli przestrzegania prawa: unijny (sądowy i pozasądowy) i krajowy (sądowy i pozasądowy).
4.	Historia sądownictwa wspólnotowego/unijnego.
5.	Trybunał Sprawiedliwości Unii Europejskiej (TSUE): Trybunał Sprawiedliwości, Sąd, sądy wyspecjalizowane (Sąd ds. Służby Publicznej Unii Europejskiej) – struktura, organizacja i kompetencje.
       6.  Postępowanie przed sądami unijnymi.
7.	Skargi przeciwko państwu członkowskiemu wnoszone przez Komisję Europejską o niewywiązywanie się ze zobowiązań unijnych (art. 258 Traktatu o Funkcjonowaniu Unii Europejskiej).
8.	Skargi przeciwko państwu członkowskiemu o niewywiązywanie się ze zobowiązań unijnych wnoszone przez inne państwo członkowskie (art. 259 ToFUE).
9.	Skargi przeciwko instytucjom UE o stwierdzenie nieważności aktu prawa unijnego (art. 263 ToFUE).
10.	Skargi przeciwko instytucjom UE na ich bezczynność (art. 265 ToFUE).
11.	Skargi przeciwko UE o odszkodowanie (art. 268 ToFUE w związku z art. 340               ToFUE).
12.	Pytania prejudycjalne w postępowaniu przed Trybunałem Sprawiedliwości  (art. 267 ToFUE).
13.	Dorobek Trybunału Sprawiedliwości Unii Europejskiej, propozycje reform TSUE.
14.	Odpowiedzialność państw członkowskich wobec podmiotów indywidualnych za naruszenie prawa unijnego.
15.	Pozasądowy system ochrony prawnej w UE.
</w:t>
      </w:r>
    </w:p>
    <w:p>
      <w:pPr>
        <w:keepNext w:val="1"/>
        <w:spacing w:after="10"/>
      </w:pPr>
      <w:r>
        <w:rPr>
          <w:b/>
          <w:bCs/>
        </w:rPr>
        <w:t xml:space="preserve">Metody oceny: </w:t>
      </w:r>
    </w:p>
    <w:p>
      <w:pPr>
        <w:spacing w:before="20" w:after="190"/>
      </w:pPr>
      <w:r>
        <w:rPr/>
        <w:t xml:space="preserve">Sprawdzian pisemny zawierający pytania otwarte i zamknięte, problemowe i szczegółowe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System ochrony prawnej Unii Europejskiej; praca zbiorowa pod red. Anny Wyrozumskiej. Podręcznika System Prawa Unii Europejskiej, tom V, Instytut Wydawniczy EuroPrawo, Wydanie 2, Warszawa 2010
2. Jacek Barcik, Aleksandra Wentkowska: Prawo Unii Europejskiej po Traktacie z Lizbony, wydanie 2, Wydawnictwo C.H.Beck, Warszawa 2014
3. Wiadomości na stronie: www.curia.europa.eu
Literatura uzupełniająca:
1. Jan Barcz, Maciej Górka, Anna Wyrozumska: Instytucje i prawo Unii Europejskiej, Wydawnictwo LexisNexis, Warszawa 2012
2. Agnieszka Kastelik-Smaza: Pytania prejudycjalne do Trybunału Sprawiedliwości Unii Europejskiej a prawa jednostki, Oficyna a Wolters Kluwer business, Warszawa 2010 
3. The Court of Justice and the Construction of Europe: Analyses and Perspectives on Sixty Years of Case-law - La Cour de Justice et la Construction de l'Europe: Analyses et Perspectives de Soixante Ans de Jurisprudence; Court of Justice of the European Union (Ed.), Luxembourg 2013
</w:t>
      </w:r>
    </w:p>
    <w:p>
      <w:pPr>
        <w:keepNext w:val="1"/>
        <w:spacing w:after="10"/>
      </w:pPr>
      <w:r>
        <w:rPr>
          <w:b/>
          <w:bCs/>
        </w:rPr>
        <w:t xml:space="preserve">Witryna www przedmiotu: </w:t>
      </w:r>
    </w:p>
    <w:p>
      <w:pPr>
        <w:spacing w:before="20" w:after="190"/>
      </w:pPr>
      <w:r>
        <w:rPr/>
        <w:t xml:space="preserve">http://www.ans.pw.edu.pl/kadra/sdrabczyk.php</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W_1: </w:t>
      </w:r>
    </w:p>
    <w:p>
      <w:pPr/>
      <w:r>
        <w:rPr/>
        <w:t xml:space="preserve">Zna podstawową terminologię w zakresie prawa unijnego i systemu ochrony prawnej w UE. Ma wiedzę w zakresie struktury i kompetencji unijnych organów sądowych. </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K_W01, K_W02, K_W03, K_W05</w:t>
      </w:r>
    </w:p>
    <w:p>
      <w:pPr>
        <w:spacing w:before="20" w:after="190"/>
      </w:pPr>
      <w:r>
        <w:rPr>
          <w:b/>
          <w:bCs/>
        </w:rPr>
        <w:t xml:space="preserve">Powiązane efekty obszarowe: </w:t>
      </w:r>
      <w:r>
        <w:rPr/>
        <w:t xml:space="preserve">S2A_W01, S2A_W02, S2A_W07, S2A_W08, S2A_W01, S2A_W02, S2A_W03, S2A_W07, S2A_W11, S2A_W01, S2A_W02, S2A_W03, S2A_W04, S2A_W05, S2A_W03, S2A_W04</w:t>
      </w:r>
    </w:p>
    <w:p>
      <w:pPr>
        <w:keepNext w:val="1"/>
        <w:spacing w:after="10"/>
      </w:pPr>
      <w:r>
        <w:rPr>
          <w:b/>
          <w:bCs/>
        </w:rPr>
        <w:t xml:space="preserve">Efekt W_2: </w:t>
      </w:r>
    </w:p>
    <w:p>
      <w:pPr/>
      <w:r>
        <w:rPr/>
        <w:t xml:space="preserve">Ma wiedzę w zakresie struktury i kompetencji unijnych organów sądowych.</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K_W01, K_W02, K_W03, K_W05</w:t>
      </w:r>
    </w:p>
    <w:p>
      <w:pPr>
        <w:spacing w:before="20" w:after="190"/>
      </w:pPr>
      <w:r>
        <w:rPr>
          <w:b/>
          <w:bCs/>
        </w:rPr>
        <w:t xml:space="preserve">Powiązane efekty obszarowe: </w:t>
      </w:r>
      <w:r>
        <w:rPr/>
        <w:t xml:space="preserve">S2A_W01, S2A_W02, S2A_W07, S2A_W08, S2A_W01, S2A_W02, S2A_W03, S2A_W07, S2A_W11, S2A_W01, S2A_W02, S2A_W03, S2A_W04, S2A_W05, S2A_W03, S2A_W04</w:t>
      </w:r>
    </w:p>
    <w:p>
      <w:pPr>
        <w:keepNext w:val="1"/>
        <w:spacing w:after="10"/>
      </w:pPr>
      <w:r>
        <w:rPr>
          <w:b/>
          <w:bCs/>
        </w:rPr>
        <w:t xml:space="preserve">Efekt W_3: </w:t>
      </w:r>
    </w:p>
    <w:p>
      <w:pPr/>
      <w:r>
        <w:rPr/>
        <w:t xml:space="preserve">Ma wiedzę na temat postępowania przed Trybunałem Sprawiedliwości Unii Europejskiej.</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K_W01, K_W02, K_W03, K_W05</w:t>
      </w:r>
    </w:p>
    <w:p>
      <w:pPr>
        <w:spacing w:before="20" w:after="190"/>
      </w:pPr>
      <w:r>
        <w:rPr>
          <w:b/>
          <w:bCs/>
        </w:rPr>
        <w:t xml:space="preserve">Powiązane efekty obszarowe: </w:t>
      </w:r>
      <w:r>
        <w:rPr/>
        <w:t xml:space="preserve">S2A_W01, S2A_W02, S2A_W07, S2A_W08, S2A_W01, S2A_W02, S2A_W03, S2A_W07, S2A_W11, S2A_W01, S2A_W02, S2A_W03, S2A_W04, S2A_W05, S2A_W03, S2A_W04</w:t>
      </w:r>
    </w:p>
    <w:p>
      <w:pPr>
        <w:keepNext w:val="1"/>
        <w:spacing w:after="10"/>
      </w:pPr>
      <w:r>
        <w:rPr>
          <w:b/>
          <w:bCs/>
        </w:rPr>
        <w:t xml:space="preserve">Efekt W_4: </w:t>
      </w:r>
    </w:p>
    <w:p>
      <w:pPr/>
      <w:r>
        <w:rPr/>
        <w:t xml:space="preserve">Ma wiedzę na temat podstawowych rodzajów skarg kierowanych do Trybunału Sprawiedliwości Unii Europejskiej.</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K_W01, K_W02, K_W03, K_W05</w:t>
      </w:r>
    </w:p>
    <w:p>
      <w:pPr>
        <w:spacing w:before="20" w:after="190"/>
      </w:pPr>
      <w:r>
        <w:rPr>
          <w:b/>
          <w:bCs/>
        </w:rPr>
        <w:t xml:space="preserve">Powiązane efekty obszarowe: </w:t>
      </w:r>
      <w:r>
        <w:rPr/>
        <w:t xml:space="preserve">S2A_W01, S2A_W02, S2A_W07, S2A_W08, S2A_W01, S2A_W02, S2A_W03, S2A_W07, S2A_W11, S2A_W01, S2A_W02, S2A_W03, S2A_W04, S2A_W05, S2A_W03, S2A_W04</w:t>
      </w:r>
    </w:p>
    <w:p>
      <w:pPr>
        <w:keepNext w:val="1"/>
        <w:spacing w:after="10"/>
      </w:pPr>
      <w:r>
        <w:rPr>
          <w:b/>
          <w:bCs/>
        </w:rPr>
        <w:t xml:space="preserve">Efekt W_5: </w:t>
      </w:r>
    </w:p>
    <w:p>
      <w:pPr/>
      <w:r>
        <w:rPr/>
        <w:t xml:space="preserve">Ma wiedzę na temat podstawowych rodzajów skarg kierowanych do Trybunału Sprawiedliwości Unii Europejskiej. </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K_W01, K_W02, K_W03, K_W05</w:t>
      </w:r>
    </w:p>
    <w:p>
      <w:pPr>
        <w:spacing w:before="20" w:after="190"/>
      </w:pPr>
      <w:r>
        <w:rPr>
          <w:b/>
          <w:bCs/>
        </w:rPr>
        <w:t xml:space="preserve">Powiązane efekty obszarowe: </w:t>
      </w:r>
      <w:r>
        <w:rPr/>
        <w:t xml:space="preserve">S2A_W01, S2A_W02, S2A_W07, S2A_W08, S2A_W01, S2A_W02, S2A_W03, S2A_W07, S2A_W11, S2A_W01, S2A_W02, S2A_W03, S2A_W04, S2A_W05, S2A_W03, S2A_W04</w:t>
      </w:r>
    </w:p>
    <w:p>
      <w:pPr>
        <w:keepNext w:val="1"/>
        <w:spacing w:after="10"/>
      </w:pPr>
      <w:r>
        <w:rPr>
          <w:b/>
          <w:bCs/>
        </w:rPr>
        <w:t xml:space="preserve">Efekt W_6: </w:t>
      </w:r>
    </w:p>
    <w:p>
      <w:pPr/>
      <w:r>
        <w:rPr/>
        <w:t xml:space="preserve">Ma wiedzę na temat relacji: sąd krajowy - sąd unijny , w kontekście procedury orzeczenia wstępnego (pytania prejudycjalnego).</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K_W01, K_W02, K_W03, K_W05</w:t>
      </w:r>
    </w:p>
    <w:p>
      <w:pPr>
        <w:spacing w:before="20" w:after="190"/>
      </w:pPr>
      <w:r>
        <w:rPr>
          <w:b/>
          <w:bCs/>
        </w:rPr>
        <w:t xml:space="preserve">Powiązane efekty obszarowe: </w:t>
      </w:r>
      <w:r>
        <w:rPr/>
        <w:t xml:space="preserve">S2A_W01, S2A_W02, S2A_W07, S2A_W08, S2A_W01, S2A_W02, S2A_W03, S2A_W07, S2A_W11, S2A_W01, S2A_W02, S2A_W03, S2A_W04, S2A_W05, S2A_W03, S2A_W04</w:t>
      </w:r>
    </w:p>
    <w:p>
      <w:pPr>
        <w:keepNext w:val="1"/>
        <w:spacing w:after="10"/>
      </w:pPr>
      <w:r>
        <w:rPr>
          <w:b/>
          <w:bCs/>
        </w:rPr>
        <w:t xml:space="preserve">Efekt W_7: </w:t>
      </w:r>
    </w:p>
    <w:p>
      <w:pPr/>
      <w:r>
        <w:rPr/>
        <w:t xml:space="preserve">Ma wiedzę w zakresie pozasądowego systemu ochrony prawnej w UE.</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K_W01, K_W02, K_W03, K_W05</w:t>
      </w:r>
    </w:p>
    <w:p>
      <w:pPr>
        <w:spacing w:before="20" w:after="190"/>
      </w:pPr>
      <w:r>
        <w:rPr>
          <w:b/>
          <w:bCs/>
        </w:rPr>
        <w:t xml:space="preserve">Powiązane efekty obszarowe: </w:t>
      </w:r>
      <w:r>
        <w:rPr/>
        <w:t xml:space="preserve">S2A_W01, S2A_W02, S2A_W07, S2A_W08, S2A_W01, S2A_W02, S2A_W03, S2A_W07, S2A_W11, S2A_W01, S2A_W02, S2A_W03, S2A_W04, S2A_W05, S2A_W03, S2A_W04</w:t>
      </w:r>
    </w:p>
    <w:p>
      <w:pPr>
        <w:pStyle w:val="Heading3"/>
      </w:pPr>
      <w:bookmarkStart w:id="3" w:name="_Toc3"/>
      <w:r>
        <w:t>Profil ogólnoakademicki - umiejętności</w:t>
      </w:r>
      <w:bookmarkEnd w:id="3"/>
    </w:p>
    <w:p>
      <w:pPr>
        <w:keepNext w:val="1"/>
        <w:spacing w:after="10"/>
      </w:pPr>
      <w:r>
        <w:rPr>
          <w:b/>
          <w:bCs/>
        </w:rPr>
        <w:t xml:space="preserve">Efekt U_1: </w:t>
      </w:r>
    </w:p>
    <w:p>
      <w:pPr/>
      <w:r>
        <w:rPr/>
        <w:t xml:space="preserve">Potrafi posługiwać się podstawową terminologią z zakresu systemu ochrony prawnej Unii Europejskiej. </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S2A_U01, S2A_U02, S2A_U05, S2A_U06</w:t>
      </w:r>
    </w:p>
    <w:p>
      <w:pPr>
        <w:keepNext w:val="1"/>
        <w:spacing w:after="10"/>
      </w:pPr>
      <w:r>
        <w:rPr>
          <w:b/>
          <w:bCs/>
        </w:rPr>
        <w:t xml:space="preserve">Efekt U_2: </w:t>
      </w:r>
    </w:p>
    <w:p>
      <w:pPr/>
      <w:r>
        <w:rPr/>
        <w:t xml:space="preserve">Potrafi wyszukiwać w zbiorach źródeł prawa unijnego (aktów prawnych i orzeczeń sądów unijnych) dokumentów potrzebnych do prawnej oceny danego stanu faktycznego.</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K_U01, K_U02, K_U03, K_U04</w:t>
      </w:r>
    </w:p>
    <w:p>
      <w:pPr>
        <w:spacing w:before="20" w:after="190"/>
      </w:pPr>
      <w:r>
        <w:rPr>
          <w:b/>
          <w:bCs/>
        </w:rPr>
        <w:t xml:space="preserve">Powiązane efekty obszarowe: </w:t>
      </w:r>
      <w:r>
        <w:rPr/>
        <w:t xml:space="preserve">S2A_U01, S2A_U02, S2A_U05, S2A_U06, S2A_U01, S2A_U02, S2A_U05, S2A_U06, S2A_U01, S2A_U02, S2A_U03, S2A_U04, S2A_U07, S2A_U01, S2A_U02, S2A_U03, S2A_U05, S2A_U06, S2A_U07, S2A_U08</w:t>
      </w:r>
    </w:p>
    <w:p>
      <w:pPr>
        <w:keepNext w:val="1"/>
        <w:spacing w:after="10"/>
      </w:pPr>
      <w:r>
        <w:rPr>
          <w:b/>
          <w:bCs/>
        </w:rPr>
        <w:t xml:space="preserve">Efekt U_3: </w:t>
      </w:r>
    </w:p>
    <w:p>
      <w:pPr/>
      <w:r>
        <w:rPr/>
        <w:t xml:space="preserve">Potrafi posługiwać się źródłami prawa unijnego oraz orzecznictwem sądów unijnych.</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K_U01, K_U02, K_U03, K_U04</w:t>
      </w:r>
    </w:p>
    <w:p>
      <w:pPr>
        <w:spacing w:before="20" w:after="190"/>
      </w:pPr>
      <w:r>
        <w:rPr>
          <w:b/>
          <w:bCs/>
        </w:rPr>
        <w:t xml:space="preserve">Powiązane efekty obszarowe: </w:t>
      </w:r>
      <w:r>
        <w:rPr/>
        <w:t xml:space="preserve">S2A_U01, S2A_U02, S2A_U05, S2A_U06, S2A_U01, S2A_U02, S2A_U05, S2A_U06, S2A_U01, S2A_U02, S2A_U03, S2A_U04, S2A_U07, S2A_U01, S2A_U02, S2A_U03, S2A_U05, S2A_U06, S2A_U07, S2A_U08</w:t>
      </w:r>
    </w:p>
    <w:p>
      <w:pPr>
        <w:keepNext w:val="1"/>
        <w:spacing w:after="10"/>
      </w:pPr>
      <w:r>
        <w:rPr>
          <w:b/>
          <w:bCs/>
        </w:rPr>
        <w:t xml:space="preserve">Efekt U_4: </w:t>
      </w:r>
    </w:p>
    <w:p>
      <w:pPr/>
      <w:r>
        <w:rPr/>
        <w:t xml:space="preserve">Potrafi, jeśli miałby taką potrzebę, skorzystać z instytucji sądowego systemu ochrony prawnej w Unii Europejskiej.</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K_U01, K_U02, K_U03, K_U04</w:t>
      </w:r>
    </w:p>
    <w:p>
      <w:pPr>
        <w:spacing w:before="20" w:after="190"/>
      </w:pPr>
      <w:r>
        <w:rPr>
          <w:b/>
          <w:bCs/>
        </w:rPr>
        <w:t xml:space="preserve">Powiązane efekty obszarowe: </w:t>
      </w:r>
      <w:r>
        <w:rPr/>
        <w:t xml:space="preserve">S2A_U01, S2A_U02, S2A_U05, S2A_U06, S2A_U01, S2A_U02, S2A_U05, S2A_U06, S2A_U01, S2A_U02, S2A_U03, S2A_U04, S2A_U07, S2A_U01, S2A_U02, S2A_U03, S2A_U05, S2A_U06, S2A_U07, S2A_U08</w:t>
      </w:r>
    </w:p>
    <w:p>
      <w:pPr>
        <w:keepNext w:val="1"/>
        <w:spacing w:after="10"/>
      </w:pPr>
      <w:r>
        <w:rPr>
          <w:b/>
          <w:bCs/>
        </w:rPr>
        <w:t xml:space="preserve">Efekt U_5: </w:t>
      </w:r>
    </w:p>
    <w:p>
      <w:pPr/>
      <w:r>
        <w:rPr/>
        <w:t xml:space="preserve"> Potrafi, jeśli miałby taką potrzebę, skorzystać z instytucji pozasądowego systemu ochrony prawnej w Unii Europejskiej.</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K_U01, K_U02, K_U03, K_U04</w:t>
      </w:r>
    </w:p>
    <w:p>
      <w:pPr>
        <w:spacing w:before="20" w:after="190"/>
      </w:pPr>
      <w:r>
        <w:rPr>
          <w:b/>
          <w:bCs/>
        </w:rPr>
        <w:t xml:space="preserve">Powiązane efekty obszarowe: </w:t>
      </w:r>
      <w:r>
        <w:rPr/>
        <w:t xml:space="preserve">S2A_U01, S2A_U02, S2A_U05, S2A_U06, S2A_U01, S2A_U02, S2A_U05, S2A_U06, S2A_U01, S2A_U02, S2A_U03, S2A_U04, S2A_U07, S2A_U01, S2A_U02, S2A_U03, S2A_U05, S2A_U06, S2A_U07, S2A_U08</w:t>
      </w:r>
    </w:p>
    <w:p>
      <w:pPr>
        <w:pStyle w:val="Heading3"/>
      </w:pPr>
      <w:bookmarkStart w:id="4" w:name="_Toc4"/>
      <w:r>
        <w:t>Profil ogólnoakademicki - kompetencje społeczne</w:t>
      </w:r>
      <w:bookmarkEnd w:id="4"/>
    </w:p>
    <w:p>
      <w:pPr>
        <w:keepNext w:val="1"/>
        <w:spacing w:after="10"/>
      </w:pPr>
      <w:r>
        <w:rPr>
          <w:b/>
          <w:bCs/>
        </w:rPr>
        <w:t xml:space="preserve">Efekt K_1: </w:t>
      </w:r>
    </w:p>
    <w:p>
      <w:pPr/>
      <w:r>
        <w:rPr/>
        <w:t xml:space="preserve">Ma świadomość poziomu swojej wiedzy i umiejętności z zakresu systemu ochrony prawnej w Unii Europejskiej, rozumie konieczność dalszego doskonalenia się zawodowego i rozwoju osobistego. </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S2A_K02, S2A_K05, S2A_K01, S2A_K04, S2A_K06, S2A_K02, S2A_K03</w:t>
      </w:r>
    </w:p>
    <w:p>
      <w:pPr>
        <w:keepNext w:val="1"/>
        <w:spacing w:after="10"/>
      </w:pPr>
      <w:r>
        <w:rPr>
          <w:b/>
          <w:bCs/>
        </w:rPr>
        <w:t xml:space="preserve">Efekt K_2: </w:t>
      </w:r>
    </w:p>
    <w:p>
      <w:pPr/>
      <w:r>
        <w:rPr/>
        <w:t xml:space="preserve">Ma świadomość znaczenia systemu ochrony prawnej w Unii Europejskiej, zwłaszcza dla ochrony praw jednostki.</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K_K01, K_K02, K_K03, K_K04</w:t>
      </w:r>
    </w:p>
    <w:p>
      <w:pPr>
        <w:spacing w:before="20" w:after="190"/>
      </w:pPr>
      <w:r>
        <w:rPr>
          <w:b/>
          <w:bCs/>
        </w:rPr>
        <w:t xml:space="preserve">Powiązane efekty obszarowe: </w:t>
      </w:r>
      <w:r>
        <w:rPr/>
        <w:t xml:space="preserve">S2A_K02, S2A_K05, S2A_K01, S2A_K04, S2A_K06, S2A_K02, S2A_K03, S2A_K01, S2A_K03, S2A_K06, S2A_K07</w:t>
      </w:r>
    </w:p>
    <w:p>
      <w:pPr>
        <w:keepNext w:val="1"/>
        <w:spacing w:after="10"/>
      </w:pPr>
      <w:r>
        <w:rPr>
          <w:b/>
          <w:bCs/>
        </w:rPr>
        <w:t xml:space="preserve">Efekt K_3: </w:t>
      </w:r>
    </w:p>
    <w:p>
      <w:pPr/>
      <w:r>
        <w:rPr/>
        <w:t xml:space="preserve"> Ma świadomość problemów politycznych i etycznych występujących w procesie rozwoju systemu ochrony prawnej w Unii Europejskiej.</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K_K01, K_K02, K_K03, K_K04</w:t>
      </w:r>
    </w:p>
    <w:p>
      <w:pPr>
        <w:spacing w:before="20" w:after="190"/>
      </w:pPr>
      <w:r>
        <w:rPr>
          <w:b/>
          <w:bCs/>
        </w:rPr>
        <w:t xml:space="preserve">Powiązane efekty obszarowe: </w:t>
      </w:r>
      <w:r>
        <w:rPr/>
        <w:t xml:space="preserve">S2A_K02, S2A_K05, S2A_K01, S2A_K04, S2A_K06, S2A_K02, S2A_K03, S2A_K01, S2A_K03, S2A_K06, S2A_K07</w:t>
      </w:r>
    </w:p>
    <w:p>
      <w:pPr>
        <w:keepNext w:val="1"/>
        <w:spacing w:after="10"/>
      </w:pPr>
      <w:r>
        <w:rPr>
          <w:b/>
          <w:bCs/>
        </w:rPr>
        <w:t xml:space="preserve">Efekt K_4: </w:t>
      </w:r>
    </w:p>
    <w:p>
      <w:pPr/>
      <w:r>
        <w:rPr/>
        <w:t xml:space="preserve">Docenia znaczenie orzecznictwa TSUE dla rozwoju prawa unijnego i ochrony praw jednostki.</w:t>
      </w:r>
    </w:p>
    <w:p>
      <w:pPr>
        <w:spacing w:before="60"/>
      </w:pPr>
      <w:r>
        <w:rPr/>
        <w:t xml:space="preserve">Weryfikacja: </w:t>
      </w:r>
    </w:p>
    <w:p>
      <w:pPr>
        <w:spacing w:before="20" w:after="190"/>
      </w:pPr>
      <w:r>
        <w:rPr/>
        <w:t xml:space="preserve">Sprawdzian pisemny zawierający pytania otwarte i zamknięte, problemowe i szczegółowe</w:t>
      </w:r>
    </w:p>
    <w:p>
      <w:pPr>
        <w:spacing w:before="20" w:after="190"/>
      </w:pPr>
      <w:r>
        <w:rPr>
          <w:b/>
          <w:bCs/>
        </w:rPr>
        <w:t xml:space="preserve">Powiązane efekty kierunkowe: </w:t>
      </w:r>
      <w:r>
        <w:rPr/>
        <w:t xml:space="preserve">K_K01, K_K02, K_K03, K_K04</w:t>
      </w:r>
    </w:p>
    <w:p>
      <w:pPr>
        <w:spacing w:before="20" w:after="190"/>
      </w:pPr>
      <w:r>
        <w:rPr>
          <w:b/>
          <w:bCs/>
        </w:rPr>
        <w:t xml:space="preserve">Powiązane efekty obszarowe: </w:t>
      </w:r>
      <w:r>
        <w:rPr/>
        <w:t xml:space="preserve">S2A_K02, S2A_K05, S2A_K01, S2A_K04, S2A_K06, S2A_K02, S2A_K03, S2A_K01, S2A_K03, S2A_K06,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2024-04-29T00:30:21+02:00</dcterms:created>
  <dcterms:modified xsi:type="dcterms:W3CDTF">2024-04-29T00:30:21+02:00</dcterms:modified>
</cp:coreProperties>
</file>

<file path=docProps/custom.xml><?xml version="1.0" encoding="utf-8"?>
<Properties xmlns="http://schemas.openxmlformats.org/officeDocument/2006/custom-properties" xmlns:vt="http://schemas.openxmlformats.org/officeDocument/2006/docPropsVTypes"/>
</file>