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(30 godz. wykładu, 30 godz. ćwiczeń laboratoryjnych, 2 godz. egzamin - razem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(30 godz. ćwiczeń laboratoryjnych, 18 godz. przygotowania do ćwiczeń laboratoryjnych, 10 godz. przygotowania do egz. praktycznego, 1 godz. egz. praktyczny - razem 59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technikami tworzenia modeli przeznaczonych do animacji.
Ukształtowanie podstawowych umiejętności praktycznych w zakresie opracowania własnych animacji z wykorzystaniem dostępnego oprogramowania 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wizualizacji i animacji w grafice komputerowej. Przegląd metod modelowania na przykładzie 3DS Max. Interfejs użytkownika. Obiekty proste i złożone. Transformacje. Wprowadzanie ruchu do sceny. Przykłady edycji. Sposoby oświetlania sceny. Parametry świateł. Operowanie kamerami. Animacje materiałów i świateł. Sposoby renderowania scen. Zapamiętywanie animacji. Tekstury animowane. Sposoby podglądu użyteczne z punktu widzenia animacji. Animacja obiektów złożonych. Modyfikacja kształtu w czasie. Deformowanie obiektów siatkowych i łat.
Ścieżki ruchu, edycja kluczy, ograniczniki ruchu i kontrolery. Hierarchia obiektów ruchomych. Metamorfoza. Modyfikatory animacji. Kontroler wyrażeń matematycznych. Systemy cząstek. Pola sił i obiekty elastyczne. Animacje z wykorzystaniem zasad dynamiki na przykładzie narzędzia Reactor. Animowanie tkanin.
Systemy szkieletowe. Cyfrowy aktor. Nakładanie skóry. Sterowanie mimiką twarzy. Ubrania. Kinematyka prosta i odwrotna. Animacja pojedynczych postaci i tłumów. Filmy cyfrowe. Ogólny schemat produkcji. Komponowanie kadru i ujęcia. Estetyka. Scenariusz
i scenopis. Dialogi.
Animacje w podejściu abstrakcyjnym. Animowane modele roślin z wykorzystaniem IFS i L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https://studia.elka.pw.edu.pl/priv/14Z/MOA.A/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Nagroda Rektora PW za działalność dydaktyczną dla zespołu, który opracował przedmiot MOA, w składzie
Cezary Stępień (67%),
Krzysztof Chabko (11%),
Krzysztof Gracki (11%),
Rajmund Kożuszek (11%),
za rok 2011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MOA_W01: </w:t>
      </w:r>
    </w:p>
    <w:p>
      <w:pPr/>
      <w:r>
        <w:rPr/>
        <w:t xml:space="preserve">Ma podstawową wiedzę, niezbędną do rozumienia społecznych, ekonomicznych i pozatechnicznych uwarunkowań działalności inżynierskiej w zakresie tworzenia animacji, a w szczególności animowanych modeli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MOA_W02: </w:t>
      </w:r>
    </w:p>
    <w:p>
      <w:pPr/>
      <w:r>
        <w:rPr/>
        <w:t xml:space="preserve">Ma uporządkowaną wiedzę z zakresu zastosowania metod grafiki komputerowej, przetwarzania i kompresji obrazów oraz filmów w zakresie niezbędnym do tworzenia animacji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kol2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2026-04-19T00:06:24+02:00</dcterms:created>
  <dcterms:modified xsi:type="dcterms:W3CDTF">2026-04-19T00:06:24+02:00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