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p>
      <w:pPr>
        <w:keepNext w:val="1"/>
        <w:spacing w:after="10"/>
      </w:pPr>
      <w:r>
        <w:rPr>
          <w:b/>
          <w:bCs/>
        </w:rPr>
        <w:t xml:space="preserve">Efekt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ML.PR_A_U3: </w:t>
      </w:r>
    </w:p>
    <w:p>
      <w:pPr/>
      <w:r>
        <w:rPr/>
        <w:t xml:space="preserve">Ma przygotowanie niezbędne do pracy w środowisku przemysłowym oraz zna zasady bezpieczeństwa związane z tą pracą.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p>
      <w:pPr>
        <w:keepNext w:val="1"/>
        <w:spacing w:after="10"/>
      </w:pPr>
      <w:r>
        <w:rPr>
          <w:b/>
          <w:bCs/>
        </w:rPr>
        <w:t xml:space="preserve">Efekt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ML.PR_A_K4: </w:t>
      </w:r>
    </w:p>
    <w:p>
      <w:pPr/>
      <w:r>
        <w:rPr/>
        <w:t xml:space="preserve">Potrafi myśleć i działać w sposób przedsiębiorczy.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2026-09-07T07:34:22+02:00</dcterms:created>
  <dcterms:modified xsi:type="dcterms:W3CDTF">2026-09-07T07:34:22+02:00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